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F7964" w14:textId="77777777" w:rsidR="00C24929" w:rsidRDefault="00C24929" w:rsidP="008310C3">
      <w:r w:rsidRPr="00C24929">
        <w:rPr>
          <w:b/>
          <w:color w:val="FF0000"/>
        </w:rPr>
        <w:t>WINTERSTEIGER ARTIKEL NUMMER</w:t>
      </w:r>
      <w:r w:rsidRPr="00C24929">
        <w:rPr>
          <w:color w:val="FF0000"/>
        </w:rPr>
        <w:t xml:space="preserve"> </w:t>
      </w:r>
      <w:r>
        <w:rPr>
          <w:noProof/>
          <w:lang w:val="de-DE"/>
        </w:rPr>
        <w:drawing>
          <wp:inline distT="0" distB="0" distL="0" distR="0" wp14:anchorId="4FECE3B7" wp14:editId="4DE8C8EF">
            <wp:extent cx="1766888" cy="333375"/>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74509" cy="334813"/>
                    </a:xfrm>
                    <a:prstGeom prst="rect">
                      <a:avLst/>
                    </a:prstGeom>
                  </pic:spPr>
                </pic:pic>
              </a:graphicData>
            </a:graphic>
          </wp:inline>
        </w:drawing>
      </w:r>
    </w:p>
    <w:p w14:paraId="29B0DAE7" w14:textId="77777777" w:rsidR="00732431" w:rsidRPr="0083231E" w:rsidRDefault="00DD0A64" w:rsidP="008310C3">
      <w:pPr>
        <w:pStyle w:val="berschrift3"/>
        <w:spacing w:before="0"/>
      </w:pPr>
      <w:r w:rsidRPr="0083231E">
        <w:rPr>
          <w:lang w:val="de-DE" w:eastAsia="de-DE"/>
        </w:rPr>
        <mc:AlternateContent>
          <mc:Choice Requires="wps">
            <w:drawing>
              <wp:anchor distT="0" distB="0" distL="114300" distR="114300" simplePos="0" relativeHeight="251655168" behindDoc="0" locked="0" layoutInCell="1" allowOverlap="1" wp14:anchorId="7671506A" wp14:editId="7426D94E">
                <wp:simplePos x="0" y="0"/>
                <wp:positionH relativeFrom="column">
                  <wp:posOffset>6629400</wp:posOffset>
                </wp:positionH>
                <wp:positionV relativeFrom="paragraph">
                  <wp:posOffset>-5715</wp:posOffset>
                </wp:positionV>
                <wp:extent cx="0" cy="0"/>
                <wp:effectExtent l="9525" t="13335" r="9525" b="571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FEA88"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1LDAIAACMEAAAOAAAAZHJzL2Uyb0RvYy54bWysU8GO2jAQvVfqP1i+QxI2U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"/>
            </w:pict>
          </mc:Fallback>
        </mc:AlternateContent>
      </w:r>
      <w:r w:rsidR="004020EF" w:rsidRPr="0083231E">
        <w:t>ABSCHNITT</w:t>
      </w:r>
      <w:r w:rsidR="002F1645" w:rsidRPr="0083231E">
        <w:t xml:space="preserve">: </w:t>
      </w:r>
      <w:r w:rsidR="00A87A55" w:rsidRPr="0083231E">
        <w:t>Bezeichnung des Stoffs beziehungsweise des Gemischs und des Unternehmens</w:t>
      </w:r>
    </w:p>
    <w:p w14:paraId="00CAA724" w14:textId="77777777" w:rsidR="00824230" w:rsidRPr="0083231E" w:rsidRDefault="00EE1EAC" w:rsidP="005F7840">
      <w:pPr>
        <w:pStyle w:val="berschrift4"/>
      </w:pPr>
      <w:proofErr w:type="spellStart"/>
      <w:r w:rsidRPr="0083231E">
        <w:t>Produktidentifikator</w:t>
      </w:r>
      <w:r w:rsidR="005E23FE" w:rsidRPr="0083231E">
        <w:t>en</w:t>
      </w:r>
      <w:proofErr w:type="spellEnd"/>
    </w:p>
    <w:tbl>
      <w:tblPr>
        <w:tblStyle w:val="Tabellenraster"/>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6994"/>
      </w:tblGrid>
      <w:tr w:rsidR="00824230" w:rsidRPr="0083231E" w14:paraId="3E3930D5" w14:textId="77777777" w:rsidTr="008E77F7">
        <w:tc>
          <w:tcPr>
            <w:tcW w:w="2078" w:type="dxa"/>
          </w:tcPr>
          <w:p w14:paraId="797AADAC" w14:textId="77777777" w:rsidR="00824230" w:rsidRPr="0083231E" w:rsidRDefault="00303D4A" w:rsidP="005F7840">
            <w:pPr>
              <w:pStyle w:val="KeinLeerraum"/>
              <w:rPr>
                <w:bCs/>
              </w:rPr>
            </w:pPr>
            <w:r w:rsidRPr="0083231E">
              <w:t>Handelsname / Bezeichnung:</w:t>
            </w:r>
          </w:p>
        </w:tc>
        <w:tc>
          <w:tcPr>
            <w:tcW w:w="6994" w:type="dxa"/>
          </w:tcPr>
          <w:p w14:paraId="72659605" w14:textId="77777777" w:rsidR="00824230" w:rsidRPr="0083231E" w:rsidRDefault="008310C3" w:rsidP="005F7840">
            <w:pPr>
              <w:pStyle w:val="KeinLeerraum"/>
              <w:rPr>
                <w:bCs/>
              </w:rPr>
            </w:pPr>
            <w:proofErr w:type="spellStart"/>
            <w:r w:rsidRPr="0083231E">
              <w:t>Liquo</w:t>
            </w:r>
            <w:proofErr w:type="spellEnd"/>
            <w:r w:rsidRPr="0083231E">
              <w:t xml:space="preserve"> </w:t>
            </w:r>
            <w:r w:rsidR="0083231E">
              <w:t>Warm</w:t>
            </w:r>
          </w:p>
        </w:tc>
      </w:tr>
      <w:tr w:rsidR="00824230" w:rsidRPr="0083231E" w14:paraId="49AD9FE7" w14:textId="77777777" w:rsidTr="008E77F7">
        <w:tc>
          <w:tcPr>
            <w:tcW w:w="2078" w:type="dxa"/>
          </w:tcPr>
          <w:p w14:paraId="33132E53" w14:textId="77777777" w:rsidR="00824230" w:rsidRPr="0083231E" w:rsidRDefault="00303D4A" w:rsidP="005F7840">
            <w:pPr>
              <w:pStyle w:val="KeinLeerraum"/>
              <w:rPr>
                <w:bCs/>
              </w:rPr>
            </w:pPr>
            <w:proofErr w:type="spellStart"/>
            <w:r w:rsidRPr="0083231E">
              <w:t>Produktnr</w:t>
            </w:r>
            <w:proofErr w:type="spellEnd"/>
            <w:r w:rsidRPr="0083231E">
              <w:t>.:</w:t>
            </w:r>
          </w:p>
        </w:tc>
        <w:tc>
          <w:tcPr>
            <w:tcW w:w="6994" w:type="dxa"/>
          </w:tcPr>
          <w:p w14:paraId="01E502EB" w14:textId="77777777" w:rsidR="00824230" w:rsidRPr="0083231E" w:rsidRDefault="008310C3" w:rsidP="005F7840">
            <w:pPr>
              <w:pStyle w:val="KeinLeerraum"/>
            </w:pPr>
            <w:r w:rsidRPr="0083231E">
              <w:t>880</w:t>
            </w:r>
            <w:r w:rsidR="0083231E">
              <w:t>0</w:t>
            </w:r>
          </w:p>
        </w:tc>
      </w:tr>
      <w:tr w:rsidR="00824230" w:rsidRPr="0083231E" w14:paraId="23FBC6C1" w14:textId="77777777" w:rsidTr="008E77F7">
        <w:tc>
          <w:tcPr>
            <w:tcW w:w="2078" w:type="dxa"/>
          </w:tcPr>
          <w:p w14:paraId="24DC330B" w14:textId="77777777" w:rsidR="00824230" w:rsidRPr="0083231E" w:rsidRDefault="00303D4A" w:rsidP="005F7840">
            <w:pPr>
              <w:pStyle w:val="KeinLeerraum"/>
            </w:pPr>
            <w:r w:rsidRPr="0083231E">
              <w:t>Andere Bezeichnungen:</w:t>
            </w:r>
          </w:p>
        </w:tc>
        <w:tc>
          <w:tcPr>
            <w:tcW w:w="6994" w:type="dxa"/>
          </w:tcPr>
          <w:p w14:paraId="2E9EFA79" w14:textId="77777777" w:rsidR="00824230" w:rsidRPr="0083231E" w:rsidRDefault="00B97B02" w:rsidP="005F7840">
            <w:pPr>
              <w:pStyle w:val="KeinLeerraum"/>
            </w:pPr>
            <w:proofErr w:type="spellStart"/>
            <w:r w:rsidRPr="0083231E">
              <w:t>Perfluoralkan</w:t>
            </w:r>
            <w:proofErr w:type="spellEnd"/>
            <w:r w:rsidR="00656698" w:rsidRPr="0083231E">
              <w:t xml:space="preserve"> – Fluorkohlenwasserstoffe</w:t>
            </w:r>
            <w:r w:rsidR="007F0E48" w:rsidRPr="0083231E">
              <w:t>ther Gemisch</w:t>
            </w:r>
          </w:p>
        </w:tc>
      </w:tr>
    </w:tbl>
    <w:p w14:paraId="0D04A8F1" w14:textId="77777777" w:rsidR="005850A6" w:rsidRPr="0083231E" w:rsidRDefault="005850A6" w:rsidP="005F7840">
      <w:pPr>
        <w:pStyle w:val="berschrift4"/>
      </w:pPr>
      <w:r w:rsidRPr="0083231E">
        <w:t xml:space="preserve">Relevante identifizierte Verwendungen des Stoffs oder Gemischs und Verwendungen, von denen abgeraten wird </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6961"/>
      </w:tblGrid>
      <w:tr w:rsidR="005850A6" w:rsidRPr="0083231E" w14:paraId="21255190" w14:textId="77777777" w:rsidTr="00400D6F">
        <w:tc>
          <w:tcPr>
            <w:tcW w:w="2127" w:type="dxa"/>
          </w:tcPr>
          <w:p w14:paraId="06D1DC54" w14:textId="77777777" w:rsidR="005850A6" w:rsidRPr="0083231E" w:rsidRDefault="005850A6" w:rsidP="005F7840">
            <w:pPr>
              <w:pStyle w:val="KeinLeerraum"/>
              <w:rPr>
                <w:bCs/>
              </w:rPr>
            </w:pPr>
            <w:r w:rsidRPr="0083231E">
              <w:t xml:space="preserve">Identifizierte </w:t>
            </w:r>
            <w:r w:rsidRPr="0083231E">
              <w:br/>
              <w:t>Verwendungen:</w:t>
            </w:r>
          </w:p>
        </w:tc>
        <w:tc>
          <w:tcPr>
            <w:tcW w:w="7796" w:type="dxa"/>
          </w:tcPr>
          <w:p w14:paraId="3BFE2D86" w14:textId="77777777" w:rsidR="005850A6" w:rsidRPr="0083231E" w:rsidRDefault="005850A6" w:rsidP="005F7840">
            <w:pPr>
              <w:pStyle w:val="KeinLeerraum"/>
              <w:rPr>
                <w:bCs/>
              </w:rPr>
            </w:pPr>
            <w:r w:rsidRPr="0083231E">
              <w:t>Skiwachs, Laborchemikalie, Herstellung von Stoffen</w:t>
            </w:r>
          </w:p>
        </w:tc>
      </w:tr>
    </w:tbl>
    <w:p w14:paraId="2FB6B9A9" w14:textId="77777777" w:rsidR="005850A6" w:rsidRPr="0083231E" w:rsidRDefault="005850A6" w:rsidP="005F7840">
      <w:pPr>
        <w:pStyle w:val="berschrift4"/>
        <w:rPr>
          <w:color w:val="993366"/>
        </w:rPr>
      </w:pPr>
      <w:r w:rsidRPr="0083231E">
        <w:t>Einzelheiten zum Lieferanten, der das Sicherheitsdatenblatt bereitstellt</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034"/>
      </w:tblGrid>
      <w:tr w:rsidR="005850A6" w:rsidRPr="0083231E" w14:paraId="52DAF0B9" w14:textId="77777777" w:rsidTr="00AF2288">
        <w:tc>
          <w:tcPr>
            <w:tcW w:w="1985" w:type="dxa"/>
          </w:tcPr>
          <w:p w14:paraId="0FFD52A7" w14:textId="77777777" w:rsidR="005850A6" w:rsidRPr="0083231E" w:rsidRDefault="005850A6" w:rsidP="005F7840">
            <w:pPr>
              <w:pStyle w:val="KeinLeerraum"/>
              <w:rPr>
                <w:bCs/>
              </w:rPr>
            </w:pPr>
            <w:r w:rsidRPr="0083231E">
              <w:t>Hersteller/Lieferant:</w:t>
            </w:r>
          </w:p>
        </w:tc>
        <w:tc>
          <w:tcPr>
            <w:tcW w:w="7168" w:type="dxa"/>
          </w:tcPr>
          <w:p w14:paraId="0458845F" w14:textId="77777777" w:rsidR="005850A6" w:rsidRPr="0083231E" w:rsidRDefault="005850A6" w:rsidP="005F7840">
            <w:pPr>
              <w:pStyle w:val="KeinLeerraum"/>
            </w:pPr>
            <w:r w:rsidRPr="0083231E">
              <w:t xml:space="preserve">HWK </w:t>
            </w:r>
            <w:proofErr w:type="spellStart"/>
            <w:r w:rsidRPr="0083231E">
              <w:t>Kronbichler</w:t>
            </w:r>
            <w:proofErr w:type="spellEnd"/>
            <w:r w:rsidRPr="0083231E">
              <w:t xml:space="preserve"> GmbH</w:t>
            </w:r>
            <w:r w:rsidRPr="0083231E">
              <w:br/>
            </w:r>
            <w:proofErr w:type="spellStart"/>
            <w:r w:rsidRPr="0083231E">
              <w:t>Gießenweg</w:t>
            </w:r>
            <w:proofErr w:type="spellEnd"/>
            <w:r w:rsidRPr="0083231E">
              <w:t xml:space="preserve"> 9a</w:t>
            </w:r>
            <w:r w:rsidRPr="0083231E">
              <w:br/>
              <w:t xml:space="preserve">A-6341 </w:t>
            </w:r>
            <w:proofErr w:type="spellStart"/>
            <w:r w:rsidRPr="0083231E">
              <w:t>Ebbs</w:t>
            </w:r>
            <w:proofErr w:type="spellEnd"/>
            <w:r w:rsidRPr="0083231E">
              <w:br/>
              <w:t>Austria</w:t>
            </w:r>
          </w:p>
        </w:tc>
      </w:tr>
      <w:tr w:rsidR="005850A6" w:rsidRPr="0083231E" w14:paraId="6CC59A02" w14:textId="77777777" w:rsidTr="00AF2288">
        <w:tc>
          <w:tcPr>
            <w:tcW w:w="1985" w:type="dxa"/>
          </w:tcPr>
          <w:p w14:paraId="3451DC99" w14:textId="77777777" w:rsidR="005850A6" w:rsidRPr="0083231E" w:rsidRDefault="005850A6" w:rsidP="005F7840">
            <w:pPr>
              <w:pStyle w:val="KeinLeerraum"/>
              <w:rPr>
                <w:bCs/>
              </w:rPr>
            </w:pPr>
            <w:r w:rsidRPr="0083231E">
              <w:t>Telefon:</w:t>
            </w:r>
          </w:p>
        </w:tc>
        <w:tc>
          <w:tcPr>
            <w:tcW w:w="7168" w:type="dxa"/>
          </w:tcPr>
          <w:p w14:paraId="4388A8EE" w14:textId="77777777" w:rsidR="005850A6" w:rsidRPr="0083231E" w:rsidRDefault="005850A6" w:rsidP="005F7840">
            <w:pPr>
              <w:pStyle w:val="KeinLeerraum"/>
            </w:pPr>
            <w:r w:rsidRPr="0083231E">
              <w:t>+43 (0)5373 424 20</w:t>
            </w:r>
          </w:p>
        </w:tc>
      </w:tr>
      <w:tr w:rsidR="005850A6" w:rsidRPr="0083231E" w14:paraId="66AC5627" w14:textId="77777777" w:rsidTr="00AF2288">
        <w:tc>
          <w:tcPr>
            <w:tcW w:w="1985" w:type="dxa"/>
          </w:tcPr>
          <w:p w14:paraId="73B23FFA" w14:textId="77777777" w:rsidR="005850A6" w:rsidRPr="0083231E" w:rsidRDefault="005850A6" w:rsidP="005F7840">
            <w:pPr>
              <w:pStyle w:val="KeinLeerraum"/>
              <w:rPr>
                <w:bCs/>
              </w:rPr>
            </w:pPr>
            <w:r w:rsidRPr="0083231E">
              <w:t>Fax:</w:t>
            </w:r>
          </w:p>
        </w:tc>
        <w:tc>
          <w:tcPr>
            <w:tcW w:w="7168" w:type="dxa"/>
          </w:tcPr>
          <w:p w14:paraId="184D4066" w14:textId="77777777" w:rsidR="005850A6" w:rsidRPr="0083231E" w:rsidRDefault="005850A6" w:rsidP="005F7840">
            <w:pPr>
              <w:pStyle w:val="KeinLeerraum"/>
              <w:rPr>
                <w:bCs/>
              </w:rPr>
            </w:pPr>
            <w:r w:rsidRPr="0083231E">
              <w:t>+43 (0)1 253 30 33 58 70</w:t>
            </w:r>
          </w:p>
        </w:tc>
      </w:tr>
      <w:tr w:rsidR="005850A6" w:rsidRPr="0083231E" w14:paraId="12DFCFAE" w14:textId="77777777" w:rsidTr="00AF2288">
        <w:tc>
          <w:tcPr>
            <w:tcW w:w="1985" w:type="dxa"/>
          </w:tcPr>
          <w:p w14:paraId="7C7212D8" w14:textId="77777777" w:rsidR="005850A6" w:rsidRPr="0083231E" w:rsidRDefault="005850A6" w:rsidP="005F7840">
            <w:pPr>
              <w:pStyle w:val="KeinLeerraum"/>
              <w:rPr>
                <w:bCs/>
              </w:rPr>
            </w:pPr>
            <w:r w:rsidRPr="0083231E">
              <w:t>Email-Adresse:</w:t>
            </w:r>
          </w:p>
        </w:tc>
        <w:tc>
          <w:tcPr>
            <w:tcW w:w="7168" w:type="dxa"/>
          </w:tcPr>
          <w:p w14:paraId="3F49F243" w14:textId="77777777" w:rsidR="005850A6" w:rsidRPr="0083231E" w:rsidRDefault="005850A6" w:rsidP="005F7840">
            <w:pPr>
              <w:pStyle w:val="KeinLeerraum"/>
            </w:pPr>
            <w:r w:rsidRPr="0083231E">
              <w:t>info@hwk-skiwax.com</w:t>
            </w:r>
          </w:p>
        </w:tc>
      </w:tr>
      <w:tr w:rsidR="005850A6" w:rsidRPr="0083231E" w14:paraId="6780768D" w14:textId="77777777" w:rsidTr="00AF2288">
        <w:tc>
          <w:tcPr>
            <w:tcW w:w="1985" w:type="dxa"/>
          </w:tcPr>
          <w:p w14:paraId="2F2F09CC" w14:textId="77777777" w:rsidR="005850A6" w:rsidRPr="0083231E" w:rsidRDefault="0032333E" w:rsidP="005F7840">
            <w:pPr>
              <w:pStyle w:val="KeinLeerraum"/>
            </w:pPr>
            <w:r w:rsidRPr="0083231E">
              <w:t>Homepage</w:t>
            </w:r>
            <w:r w:rsidR="005850A6" w:rsidRPr="0083231E">
              <w:t>:</w:t>
            </w:r>
          </w:p>
        </w:tc>
        <w:tc>
          <w:tcPr>
            <w:tcW w:w="7168" w:type="dxa"/>
          </w:tcPr>
          <w:p w14:paraId="3A97AACE" w14:textId="77777777" w:rsidR="005850A6" w:rsidRPr="0083231E" w:rsidRDefault="00000000" w:rsidP="005F7840">
            <w:pPr>
              <w:pStyle w:val="KeinLeerraum"/>
            </w:pPr>
            <w:hyperlink r:id="rId9" w:history="1">
              <w:r w:rsidR="00763071" w:rsidRPr="0083231E">
                <w:rPr>
                  <w:rStyle w:val="Hyperlink"/>
                </w:rPr>
                <w:t>www.hwk-skiwax.com</w:t>
              </w:r>
            </w:hyperlink>
          </w:p>
        </w:tc>
      </w:tr>
    </w:tbl>
    <w:p w14:paraId="4650F7A2" w14:textId="77777777" w:rsidR="00AD4E6E" w:rsidRPr="0083231E" w:rsidRDefault="005850A6" w:rsidP="005F7840">
      <w:pPr>
        <w:pStyle w:val="Titel"/>
        <w:rPr>
          <w:rStyle w:val="Kommentarzeichen"/>
          <w:sz w:val="20"/>
          <w:szCs w:val="20"/>
        </w:rPr>
      </w:pPr>
      <w:r w:rsidRPr="0083231E">
        <w:t>_____________________________________________________________________________________</w:t>
      </w:r>
      <w:r w:rsidR="00763071" w:rsidRPr="0083231E">
        <w:t>_</w:t>
      </w:r>
      <w:r w:rsidR="008E77F7" w:rsidRPr="0083231E">
        <w:t>_</w:t>
      </w:r>
    </w:p>
    <w:p w14:paraId="2B38D7B9" w14:textId="77777777" w:rsidR="00AB18FE" w:rsidRPr="0083231E" w:rsidRDefault="00AD4E6E" w:rsidP="007F2F79">
      <w:pPr>
        <w:pStyle w:val="berschrift3"/>
      </w:pPr>
      <w:r w:rsidRPr="0083231E">
        <w:t>ABSCHNITT: Mögliche Gefahren</w:t>
      </w:r>
    </w:p>
    <w:p w14:paraId="3EB88DD4" w14:textId="77777777" w:rsidR="007F2F79" w:rsidRPr="0083231E" w:rsidRDefault="007F2F79" w:rsidP="007F2F79">
      <w:pPr>
        <w:pStyle w:val="Listenabsatz"/>
        <w:numPr>
          <w:ilvl w:val="0"/>
          <w:numId w:val="12"/>
        </w:numPr>
        <w:spacing w:before="120" w:after="120" w:line="240" w:lineRule="auto"/>
        <w:contextualSpacing w:val="0"/>
        <w:outlineLvl w:val="3"/>
        <w:rPr>
          <w:rFonts w:ascii="Arial" w:eastAsia="Times New Roman" w:hAnsi="Arial"/>
          <w:b/>
          <w:bCs/>
          <w:vanish/>
          <w:color w:val="000000" w:themeColor="text1"/>
          <w:lang w:eastAsia="de-DE"/>
        </w:rPr>
      </w:pPr>
    </w:p>
    <w:p w14:paraId="4925CBA4" w14:textId="77777777" w:rsidR="007F2F79" w:rsidRPr="0083231E" w:rsidRDefault="007F2F79" w:rsidP="007F2F79">
      <w:pPr>
        <w:pStyle w:val="Listenabsatz"/>
        <w:numPr>
          <w:ilvl w:val="0"/>
          <w:numId w:val="12"/>
        </w:numPr>
        <w:spacing w:before="120" w:after="120" w:line="240" w:lineRule="auto"/>
        <w:contextualSpacing w:val="0"/>
        <w:outlineLvl w:val="3"/>
        <w:rPr>
          <w:rFonts w:ascii="Arial" w:eastAsia="Times New Roman" w:hAnsi="Arial"/>
          <w:b/>
          <w:bCs/>
          <w:vanish/>
          <w:color w:val="000000" w:themeColor="text1"/>
          <w:lang w:eastAsia="de-DE"/>
        </w:rPr>
      </w:pPr>
    </w:p>
    <w:p w14:paraId="4A02334F" w14:textId="77777777" w:rsidR="00AD4E6E" w:rsidRPr="0083231E" w:rsidRDefault="00AD4E6E" w:rsidP="007F2F79">
      <w:pPr>
        <w:pStyle w:val="berschrift4"/>
        <w:numPr>
          <w:ilvl w:val="1"/>
          <w:numId w:val="12"/>
        </w:numPr>
      </w:pPr>
      <w:r w:rsidRPr="0083231E">
        <w:t>Eins</w:t>
      </w:r>
      <w:r w:rsidR="00FE319F" w:rsidRPr="0083231E">
        <w:t>tufung des Stoffs oder Gemischs</w:t>
      </w:r>
    </w:p>
    <w:p w14:paraId="51774AA5" w14:textId="77777777" w:rsidR="007F0E48" w:rsidRPr="0083231E" w:rsidRDefault="001B654D" w:rsidP="007F2F79">
      <w:pPr>
        <w:pStyle w:val="Untertitel"/>
        <w:ind w:left="703" w:firstLine="0"/>
      </w:pPr>
      <w:r w:rsidRPr="0083231E">
        <w:t>Gefahrenhinweis</w:t>
      </w:r>
      <w:r w:rsidR="00DA0ABB" w:rsidRPr="0083231E">
        <w:t xml:space="preserve"> gemäß</w:t>
      </w:r>
      <w:r w:rsidR="007F0E48" w:rsidRPr="0083231E">
        <w:t xml:space="preserve"> Verordnung (EG) Nr. 1272/2008</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6803"/>
      </w:tblGrid>
      <w:tr w:rsidR="00683243" w:rsidRPr="0083231E" w14:paraId="18A70501" w14:textId="77777777" w:rsidTr="00D436B7">
        <w:tc>
          <w:tcPr>
            <w:tcW w:w="1370" w:type="dxa"/>
          </w:tcPr>
          <w:p w14:paraId="687779D3" w14:textId="77777777" w:rsidR="00683243" w:rsidRPr="0083231E" w:rsidRDefault="00683243" w:rsidP="005F7840">
            <w:pPr>
              <w:pStyle w:val="KeinLeerraum"/>
            </w:pPr>
            <w:r w:rsidRPr="0083231E">
              <w:t>H413</w:t>
            </w:r>
          </w:p>
        </w:tc>
        <w:tc>
          <w:tcPr>
            <w:tcW w:w="6803" w:type="dxa"/>
          </w:tcPr>
          <w:p w14:paraId="4A898458" w14:textId="77777777" w:rsidR="00683243" w:rsidRPr="0083231E" w:rsidRDefault="00683243" w:rsidP="005F7840">
            <w:pPr>
              <w:pStyle w:val="KeinLeerraum"/>
            </w:pPr>
            <w:r w:rsidRPr="0083231E">
              <w:t>Kann für Wasserorganismen schädlich sein, mit langfristiger Wirkung.</w:t>
            </w:r>
          </w:p>
        </w:tc>
      </w:tr>
    </w:tbl>
    <w:p w14:paraId="5A77B374" w14:textId="77777777" w:rsidR="007F0E48" w:rsidRPr="0083231E" w:rsidRDefault="00DA0ABB" w:rsidP="007F2F79">
      <w:pPr>
        <w:pStyle w:val="Untertitel"/>
        <w:ind w:left="703" w:firstLine="0"/>
      </w:pPr>
      <w:r w:rsidRPr="0083231E">
        <w:t xml:space="preserve">Gefahrenhinweise </w:t>
      </w:r>
      <w:r w:rsidR="007F0E48" w:rsidRPr="0083231E">
        <w:t>gemäß Richtlinie 67/548/EWG oder Richtlinie 1999/45/EG</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7657"/>
      </w:tblGrid>
      <w:tr w:rsidR="003F743B" w:rsidRPr="0083231E" w14:paraId="7678911D" w14:textId="77777777" w:rsidTr="00683243">
        <w:tc>
          <w:tcPr>
            <w:tcW w:w="1361" w:type="dxa"/>
          </w:tcPr>
          <w:p w14:paraId="3D2C5CE8" w14:textId="77777777" w:rsidR="003F743B" w:rsidRPr="0083231E" w:rsidRDefault="003F743B" w:rsidP="005F7840">
            <w:pPr>
              <w:pStyle w:val="KeinLeerraum"/>
            </w:pPr>
            <w:r w:rsidRPr="0083231E">
              <w:t>R18</w:t>
            </w:r>
          </w:p>
        </w:tc>
        <w:tc>
          <w:tcPr>
            <w:tcW w:w="7657" w:type="dxa"/>
          </w:tcPr>
          <w:p w14:paraId="69F4FC1B" w14:textId="77777777" w:rsidR="003F743B" w:rsidRPr="0083231E" w:rsidRDefault="003F743B" w:rsidP="005F7840">
            <w:pPr>
              <w:pStyle w:val="KeinLeerraum"/>
            </w:pPr>
            <w:r w:rsidRPr="0083231E">
              <w:t>Bei Gebrauch Bi</w:t>
            </w:r>
            <w:r w:rsidR="001B654D" w:rsidRPr="0083231E">
              <w:t>ldung explosionsfähiger /leicht</w:t>
            </w:r>
            <w:r w:rsidRPr="0083231E">
              <w:t>entzündlicher Dampf-</w:t>
            </w:r>
            <w:r w:rsidR="001B654D" w:rsidRPr="0083231E">
              <w:t xml:space="preserve"> / </w:t>
            </w:r>
            <w:r w:rsidRPr="0083231E">
              <w:t>Luftgemische möglich.</w:t>
            </w:r>
          </w:p>
        </w:tc>
      </w:tr>
      <w:tr w:rsidR="003F743B" w:rsidRPr="0083231E" w14:paraId="1C5C78C0" w14:textId="77777777" w:rsidTr="00683243">
        <w:tc>
          <w:tcPr>
            <w:tcW w:w="1361" w:type="dxa"/>
          </w:tcPr>
          <w:p w14:paraId="0A6408AA" w14:textId="77777777" w:rsidR="003F743B" w:rsidRPr="0083231E" w:rsidRDefault="003F743B" w:rsidP="005F7840">
            <w:pPr>
              <w:pStyle w:val="KeinLeerraum"/>
            </w:pPr>
            <w:r w:rsidRPr="0083231E">
              <w:t>R53</w:t>
            </w:r>
          </w:p>
        </w:tc>
        <w:tc>
          <w:tcPr>
            <w:tcW w:w="7657" w:type="dxa"/>
          </w:tcPr>
          <w:p w14:paraId="3AAD1070" w14:textId="77777777" w:rsidR="003F743B" w:rsidRPr="0083231E" w:rsidRDefault="003F743B" w:rsidP="005F7840">
            <w:pPr>
              <w:pStyle w:val="KeinLeerraum"/>
            </w:pPr>
            <w:r w:rsidRPr="0083231E">
              <w:t>Kann in Gewässern längerfristig schädliche Wirkungen haben.</w:t>
            </w:r>
          </w:p>
        </w:tc>
      </w:tr>
    </w:tbl>
    <w:p w14:paraId="22910BFC" w14:textId="77777777" w:rsidR="007C38A1" w:rsidRPr="0083231E" w:rsidRDefault="007C38A1">
      <w:pPr>
        <w:spacing w:after="0"/>
        <w:rPr>
          <w:b/>
          <w:bCs/>
          <w:sz w:val="22"/>
          <w:szCs w:val="22"/>
        </w:rPr>
      </w:pPr>
      <w:r w:rsidRPr="0083231E">
        <w:br w:type="page"/>
      </w:r>
    </w:p>
    <w:p w14:paraId="318578CC" w14:textId="77777777" w:rsidR="007F0E48" w:rsidRPr="0083231E" w:rsidRDefault="007F0E48" w:rsidP="007F2F79">
      <w:pPr>
        <w:pStyle w:val="Untertitel"/>
        <w:ind w:left="703" w:firstLine="0"/>
      </w:pPr>
      <w:r w:rsidRPr="0083231E">
        <w:lastRenderedPageBreak/>
        <w:t>Sicherheitshinweise</w:t>
      </w:r>
      <w:r w:rsidR="003F743B" w:rsidRPr="0083231E">
        <w:t xml:space="preserve"> gemäß Verordnung (EG) Nr. 1272/2008</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663"/>
      </w:tblGrid>
      <w:tr w:rsidR="007F0E48" w:rsidRPr="0083231E" w14:paraId="1AF6D139" w14:textId="77777777" w:rsidTr="00683243">
        <w:tc>
          <w:tcPr>
            <w:tcW w:w="1355" w:type="dxa"/>
          </w:tcPr>
          <w:p w14:paraId="6877F110" w14:textId="77777777" w:rsidR="007F0E48" w:rsidRPr="0083231E" w:rsidRDefault="00683243" w:rsidP="005F7840">
            <w:pPr>
              <w:pStyle w:val="KeinLeerraum"/>
            </w:pPr>
            <w:r w:rsidRPr="0083231E">
              <w:t>P261</w:t>
            </w:r>
          </w:p>
        </w:tc>
        <w:tc>
          <w:tcPr>
            <w:tcW w:w="7663" w:type="dxa"/>
          </w:tcPr>
          <w:p w14:paraId="5C67F38A" w14:textId="77777777" w:rsidR="007F0E48" w:rsidRPr="0083231E" w:rsidRDefault="00683243" w:rsidP="005F7840">
            <w:pPr>
              <w:pStyle w:val="KeinLeerraum"/>
            </w:pPr>
            <w:r w:rsidRPr="0083231E">
              <w:t>Einatmen von Staub / Rauch / Gas / Nebel / Dampf / Aerosol vermeiden.</w:t>
            </w:r>
          </w:p>
        </w:tc>
      </w:tr>
      <w:tr w:rsidR="007F0E48" w:rsidRPr="0083231E" w14:paraId="54DE348C" w14:textId="77777777" w:rsidTr="00683243">
        <w:tc>
          <w:tcPr>
            <w:tcW w:w="1355" w:type="dxa"/>
          </w:tcPr>
          <w:p w14:paraId="09C53441" w14:textId="77777777" w:rsidR="007F0E48" w:rsidRPr="0083231E" w:rsidRDefault="00683243" w:rsidP="005F7840">
            <w:pPr>
              <w:pStyle w:val="KeinLeerraum"/>
              <w:rPr>
                <w:bCs/>
              </w:rPr>
            </w:pPr>
            <w:r w:rsidRPr="0083231E">
              <w:t>P273</w:t>
            </w:r>
          </w:p>
        </w:tc>
        <w:tc>
          <w:tcPr>
            <w:tcW w:w="7663" w:type="dxa"/>
          </w:tcPr>
          <w:p w14:paraId="6D724C18" w14:textId="77777777" w:rsidR="007F0E48" w:rsidRPr="0083231E" w:rsidRDefault="00683243" w:rsidP="005F7840">
            <w:pPr>
              <w:pStyle w:val="KeinLeerraum"/>
            </w:pPr>
            <w:r w:rsidRPr="0083231E">
              <w:t>Freisetzung in die Umwelt vermeiden</w:t>
            </w:r>
            <w:r w:rsidR="00FA5974" w:rsidRPr="0083231E">
              <w:t>.</w:t>
            </w:r>
          </w:p>
        </w:tc>
      </w:tr>
      <w:tr w:rsidR="007F0E48" w:rsidRPr="0083231E" w14:paraId="126FE721" w14:textId="77777777" w:rsidTr="00683243">
        <w:tc>
          <w:tcPr>
            <w:tcW w:w="1355" w:type="dxa"/>
          </w:tcPr>
          <w:p w14:paraId="6B92B433" w14:textId="77777777" w:rsidR="007F0E48" w:rsidRPr="0083231E" w:rsidRDefault="00683243" w:rsidP="005F7840">
            <w:pPr>
              <w:pStyle w:val="KeinLeerraum"/>
            </w:pPr>
            <w:r w:rsidRPr="0083231E">
              <w:t>P501</w:t>
            </w:r>
          </w:p>
        </w:tc>
        <w:tc>
          <w:tcPr>
            <w:tcW w:w="7663" w:type="dxa"/>
          </w:tcPr>
          <w:p w14:paraId="76180475" w14:textId="77777777" w:rsidR="007F0E48" w:rsidRPr="0083231E" w:rsidRDefault="00683243" w:rsidP="005F7840">
            <w:pPr>
              <w:pStyle w:val="KeinLeerraum"/>
            </w:pPr>
            <w:r w:rsidRPr="0083231E">
              <w:t>Überreste / Behälter einem anerkannten Entsorgungsunternehmen zuführen und im Einklang mit lokalen / nationalen Vorschriften entsorgen.</w:t>
            </w:r>
          </w:p>
        </w:tc>
      </w:tr>
    </w:tbl>
    <w:p w14:paraId="6A02A2BF" w14:textId="77777777" w:rsidR="003F743B" w:rsidRPr="0083231E" w:rsidRDefault="003F743B" w:rsidP="005F7840">
      <w:pPr>
        <w:pStyle w:val="Untertitel"/>
      </w:pPr>
      <w:r w:rsidRPr="0083231E">
        <w:t>Sicherheitshinweise gemäß Richtlinie 67/548/EWG oder Richtlinie 1999/45/EG</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663"/>
      </w:tblGrid>
      <w:tr w:rsidR="003F743B" w:rsidRPr="0083231E" w14:paraId="33E87767" w14:textId="77777777" w:rsidTr="00E621A7">
        <w:tc>
          <w:tcPr>
            <w:tcW w:w="1355" w:type="dxa"/>
          </w:tcPr>
          <w:p w14:paraId="022A575A" w14:textId="77777777" w:rsidR="003F743B" w:rsidRPr="0083231E" w:rsidRDefault="003F743B" w:rsidP="005F7840">
            <w:pPr>
              <w:pStyle w:val="KeinLeerraum"/>
            </w:pPr>
            <w:r w:rsidRPr="0083231E">
              <w:t>S23A</w:t>
            </w:r>
          </w:p>
        </w:tc>
        <w:tc>
          <w:tcPr>
            <w:tcW w:w="7663" w:type="dxa"/>
          </w:tcPr>
          <w:p w14:paraId="2D65C2A1" w14:textId="77777777" w:rsidR="003F743B" w:rsidRPr="0083231E" w:rsidRDefault="003F743B" w:rsidP="005F7840">
            <w:pPr>
              <w:pStyle w:val="KeinLeerraum"/>
            </w:pPr>
            <w:r w:rsidRPr="0083231E">
              <w:t>Dampf nicht einatmen.</w:t>
            </w:r>
          </w:p>
        </w:tc>
      </w:tr>
      <w:tr w:rsidR="003F743B" w:rsidRPr="0083231E" w14:paraId="0B7EF611" w14:textId="77777777" w:rsidTr="00E621A7">
        <w:tc>
          <w:tcPr>
            <w:tcW w:w="1355" w:type="dxa"/>
          </w:tcPr>
          <w:p w14:paraId="78397DE3" w14:textId="77777777" w:rsidR="003F743B" w:rsidRPr="0083231E" w:rsidRDefault="003F743B" w:rsidP="005F7840">
            <w:pPr>
              <w:pStyle w:val="KeinLeerraum"/>
              <w:rPr>
                <w:bCs/>
              </w:rPr>
            </w:pPr>
            <w:r w:rsidRPr="0083231E">
              <w:t>S61</w:t>
            </w:r>
          </w:p>
        </w:tc>
        <w:tc>
          <w:tcPr>
            <w:tcW w:w="7663" w:type="dxa"/>
          </w:tcPr>
          <w:p w14:paraId="509F54A4" w14:textId="77777777" w:rsidR="003F743B" w:rsidRPr="0083231E" w:rsidRDefault="003F743B" w:rsidP="005F7840">
            <w:pPr>
              <w:pStyle w:val="KeinLeerraum"/>
            </w:pPr>
            <w:r w:rsidRPr="0083231E">
              <w:t>Freisetzung in die Umwelt vermeiden. Besondere Anweisungen einholen</w:t>
            </w:r>
            <w:r w:rsidR="009448DC" w:rsidRPr="0083231E">
              <w:t xml:space="preserve"> </w:t>
            </w:r>
            <w:r w:rsidRPr="0083231E">
              <w:t>/</w:t>
            </w:r>
            <w:r w:rsidR="009448DC" w:rsidRPr="0083231E">
              <w:t xml:space="preserve"> </w:t>
            </w:r>
            <w:r w:rsidRPr="0083231E">
              <w:t>Sicherheitsdatenblatt zu Rate ziehen.</w:t>
            </w:r>
          </w:p>
        </w:tc>
      </w:tr>
    </w:tbl>
    <w:p w14:paraId="20B29F87" w14:textId="77777777" w:rsidR="007F0E48" w:rsidRPr="0083231E" w:rsidRDefault="00C446F5" w:rsidP="005F7840">
      <w:pPr>
        <w:pStyle w:val="Untertitel"/>
      </w:pPr>
      <w:r w:rsidRPr="0083231E">
        <w:t>Kennzeichnung g</w:t>
      </w:r>
      <w:r w:rsidR="007F0E48" w:rsidRPr="0083231E">
        <w:t>emäß Verordnung (EG) Nr. 1272/2008</w:t>
      </w:r>
    </w:p>
    <w:p w14:paraId="7F9EBE1A" w14:textId="77777777" w:rsidR="003F743B" w:rsidRPr="0083231E" w:rsidRDefault="003F743B" w:rsidP="005F7840">
      <w:pPr>
        <w:rPr>
          <w:rStyle w:val="Hervorhebung"/>
        </w:rPr>
      </w:pPr>
      <w:r w:rsidRPr="0083231E">
        <w:tab/>
      </w:r>
      <w:r w:rsidRPr="0083231E">
        <w:rPr>
          <w:rStyle w:val="Hervorhebung"/>
        </w:rPr>
        <w:t>Entfällt.</w:t>
      </w:r>
    </w:p>
    <w:p w14:paraId="07EFF744" w14:textId="77777777" w:rsidR="007F0E48" w:rsidRPr="0083231E" w:rsidRDefault="007F0E48" w:rsidP="005F7840">
      <w:pPr>
        <w:pStyle w:val="Untertitel"/>
      </w:pPr>
      <w:r w:rsidRPr="0083231E">
        <w:t>Kennzeich</w:t>
      </w:r>
      <w:r w:rsidR="00C446F5" w:rsidRPr="0083231E">
        <w:t>nung g</w:t>
      </w:r>
      <w:r w:rsidRPr="0083231E">
        <w:t>emäß Richtlinie 67/548/EWG oder Richtlinie 1999/45/EG</w:t>
      </w:r>
    </w:p>
    <w:p w14:paraId="1BED9D15" w14:textId="77777777" w:rsidR="003F743B" w:rsidRPr="0083231E" w:rsidRDefault="003F743B" w:rsidP="007F2F79">
      <w:pPr>
        <w:ind w:firstLine="703"/>
      </w:pPr>
      <w:r w:rsidRPr="0083231E">
        <w:rPr>
          <w:rStyle w:val="Hervorhebung"/>
        </w:rPr>
        <w:t>Entfällt.</w:t>
      </w:r>
    </w:p>
    <w:p w14:paraId="05AFFD02" w14:textId="77777777" w:rsidR="007F0E48" w:rsidRPr="0083231E" w:rsidRDefault="003F743B" w:rsidP="005F7840">
      <w:pPr>
        <w:pStyle w:val="Untertitel"/>
      </w:pPr>
      <w:r w:rsidRPr="0083231E">
        <w:t>Ergänzende Informationen</w:t>
      </w:r>
      <w:r w:rsidR="00DF5734" w:rsidRPr="0083231E">
        <w:t xml:space="preserve"> </w:t>
      </w:r>
      <w:r w:rsidRPr="0083231E">
        <w:t>/</w:t>
      </w:r>
      <w:r w:rsidR="00DF5734" w:rsidRPr="0083231E">
        <w:t xml:space="preserve"> </w:t>
      </w:r>
      <w:r w:rsidRPr="0083231E">
        <w:t>Gefahrenmerkmale</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7663"/>
      </w:tblGrid>
      <w:tr w:rsidR="003F743B" w:rsidRPr="0083231E" w14:paraId="1B8736EC" w14:textId="77777777" w:rsidTr="00E621A7">
        <w:tc>
          <w:tcPr>
            <w:tcW w:w="1355" w:type="dxa"/>
          </w:tcPr>
          <w:p w14:paraId="4B89E90D" w14:textId="77777777" w:rsidR="003F743B" w:rsidRPr="0083231E" w:rsidRDefault="003F743B" w:rsidP="005F7840">
            <w:pPr>
              <w:pStyle w:val="KeinLeerraum"/>
            </w:pPr>
            <w:r w:rsidRPr="0083231E">
              <w:t>EUH018</w:t>
            </w:r>
          </w:p>
        </w:tc>
        <w:tc>
          <w:tcPr>
            <w:tcW w:w="7663" w:type="dxa"/>
          </w:tcPr>
          <w:p w14:paraId="04BE81D3" w14:textId="77777777" w:rsidR="003F743B" w:rsidRPr="0083231E" w:rsidRDefault="00734975" w:rsidP="005F7840">
            <w:pPr>
              <w:pStyle w:val="KeinLeerraum"/>
            </w:pPr>
            <w:r w:rsidRPr="0083231E">
              <w:t>Bei Verwendung Bildung leichtentzündlicher</w:t>
            </w:r>
            <w:r w:rsidR="00DF5734" w:rsidRPr="0083231E">
              <w:t xml:space="preserve"> </w:t>
            </w:r>
            <w:r w:rsidRPr="0083231E">
              <w:t>/</w:t>
            </w:r>
            <w:r w:rsidR="00DF5734" w:rsidRPr="0083231E">
              <w:t xml:space="preserve"> </w:t>
            </w:r>
            <w:r w:rsidRPr="0083231E">
              <w:t>explosionsfähiger Dampf-Luftgemische möglich.</w:t>
            </w:r>
          </w:p>
        </w:tc>
      </w:tr>
    </w:tbl>
    <w:p w14:paraId="2D52C936" w14:textId="77777777" w:rsidR="00AD4E6E" w:rsidRPr="0083231E" w:rsidRDefault="00FE319F" w:rsidP="005F7840">
      <w:pPr>
        <w:pStyle w:val="berschrift4"/>
      </w:pPr>
      <w:r w:rsidRPr="0083231E">
        <w:t>Sonstige Gefahren</w:t>
      </w:r>
      <w:r w:rsidR="00AD4E6E" w:rsidRPr="0083231E">
        <w:t xml:space="preserve"> </w:t>
      </w:r>
    </w:p>
    <w:p w14:paraId="5BFDEF69" w14:textId="77777777" w:rsidR="006A1C71" w:rsidRPr="0083231E" w:rsidRDefault="000C2C70" w:rsidP="005F7840">
      <w:pPr>
        <w:pStyle w:val="berschrift1"/>
      </w:pPr>
      <w:r w:rsidRPr="0083231E">
        <w:t>Heiße</w:t>
      </w:r>
      <w:r w:rsidR="00DF5734" w:rsidRPr="0083231E">
        <w:t>s Produkt /</w:t>
      </w:r>
      <w:r w:rsidRPr="0083231E">
        <w:t xml:space="preserve"> Schmelze ka</w:t>
      </w:r>
      <w:r w:rsidR="00AF612B" w:rsidRPr="0083231E">
        <w:t>nn zu Hautverbrennungen führen.</w:t>
      </w:r>
    </w:p>
    <w:p w14:paraId="37D68455" w14:textId="77777777" w:rsidR="0031422A" w:rsidRPr="0083231E" w:rsidRDefault="0031422A" w:rsidP="005F7840">
      <w:r w:rsidRPr="0083231E">
        <w:t>________________________________________________________________________________</w:t>
      </w:r>
      <w:r w:rsidR="007F2F79" w:rsidRPr="0083231E">
        <w:t>_______</w:t>
      </w:r>
    </w:p>
    <w:p w14:paraId="3B9F8E04" w14:textId="77777777" w:rsidR="00AB18FE" w:rsidRPr="0083231E" w:rsidRDefault="00AB18FE" w:rsidP="007F2F79">
      <w:pPr>
        <w:pStyle w:val="berschrift3"/>
        <w:rPr>
          <w:u w:val="single"/>
        </w:rPr>
      </w:pPr>
      <w:r w:rsidRPr="0083231E">
        <w:t>ABSCHNITT</w:t>
      </w:r>
      <w:r w:rsidR="002F1645" w:rsidRPr="0083231E">
        <w:t xml:space="preserve">: </w:t>
      </w:r>
      <w:r w:rsidR="003C4AF7" w:rsidRPr="0083231E">
        <w:t>Zu</w:t>
      </w:r>
      <w:r w:rsidR="004E0BCA" w:rsidRPr="0083231E">
        <w:t>sammensetzung</w:t>
      </w:r>
      <w:r w:rsidR="00CB548E" w:rsidRPr="0083231E">
        <w:t xml:space="preserve"> </w:t>
      </w:r>
      <w:r w:rsidR="004E0BCA" w:rsidRPr="0083231E">
        <w:t>/</w:t>
      </w:r>
      <w:r w:rsidR="00CB548E" w:rsidRPr="0083231E">
        <w:t xml:space="preserve"> </w:t>
      </w:r>
      <w:r w:rsidR="004E0BCA" w:rsidRPr="0083231E">
        <w:t>Angaben zu Bestan</w:t>
      </w:r>
      <w:r w:rsidR="003C4AF7" w:rsidRPr="0083231E">
        <w:t>teilen</w:t>
      </w:r>
    </w:p>
    <w:p w14:paraId="731800D3" w14:textId="77777777" w:rsidR="007F2F79" w:rsidRPr="0083231E" w:rsidRDefault="007F2F79" w:rsidP="007F2F79">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7AE48287" w14:textId="77777777" w:rsidR="00BD137E" w:rsidRPr="0083231E" w:rsidRDefault="003C4AF7" w:rsidP="007F2F79">
      <w:pPr>
        <w:pStyle w:val="berschrift4"/>
      </w:pPr>
      <w:r w:rsidRPr="0083231E">
        <w:t>Stoffe</w:t>
      </w:r>
    </w:p>
    <w:tbl>
      <w:tblPr>
        <w:tblStyle w:val="Tabellenraster"/>
        <w:tblW w:w="8647" w:type="dxa"/>
        <w:tblInd w:w="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3"/>
        <w:gridCol w:w="1449"/>
        <w:gridCol w:w="1984"/>
        <w:gridCol w:w="2551"/>
      </w:tblGrid>
      <w:tr w:rsidR="00E621A7" w:rsidRPr="0083231E" w14:paraId="3E7436B0" w14:textId="77777777" w:rsidTr="00E73261">
        <w:trPr>
          <w:trHeight w:val="283"/>
        </w:trPr>
        <w:tc>
          <w:tcPr>
            <w:tcW w:w="2663" w:type="dxa"/>
          </w:tcPr>
          <w:p w14:paraId="2B707A31" w14:textId="77777777" w:rsidR="00E621A7" w:rsidRPr="0083231E" w:rsidRDefault="00E621A7" w:rsidP="005F7840">
            <w:pPr>
              <w:pStyle w:val="KeinLeerraum"/>
              <w:rPr>
                <w:u w:val="single"/>
              </w:rPr>
            </w:pPr>
            <w:r w:rsidRPr="0083231E">
              <w:rPr>
                <w:u w:val="single"/>
              </w:rPr>
              <w:t>Chemischer Name</w:t>
            </w:r>
            <w:r w:rsidR="00DF5734" w:rsidRPr="0083231E">
              <w:rPr>
                <w:u w:val="single"/>
              </w:rPr>
              <w:t>:</w:t>
            </w:r>
          </w:p>
        </w:tc>
        <w:tc>
          <w:tcPr>
            <w:tcW w:w="1449" w:type="dxa"/>
          </w:tcPr>
          <w:p w14:paraId="150C7B1A" w14:textId="77777777" w:rsidR="00E621A7" w:rsidRPr="0083231E" w:rsidRDefault="00E621A7" w:rsidP="005F7840">
            <w:pPr>
              <w:pStyle w:val="KeinLeerraum"/>
              <w:rPr>
                <w:u w:val="single"/>
              </w:rPr>
            </w:pPr>
            <w:r w:rsidRPr="0083231E">
              <w:rPr>
                <w:u w:val="single"/>
              </w:rPr>
              <w:t>CAS-Nr.</w:t>
            </w:r>
            <w:r w:rsidR="00DF5734" w:rsidRPr="0083231E">
              <w:rPr>
                <w:u w:val="single"/>
              </w:rPr>
              <w:t>:</w:t>
            </w:r>
          </w:p>
        </w:tc>
        <w:tc>
          <w:tcPr>
            <w:tcW w:w="1984" w:type="dxa"/>
          </w:tcPr>
          <w:p w14:paraId="1ADB4AFF" w14:textId="77777777" w:rsidR="00E621A7" w:rsidRPr="0083231E" w:rsidRDefault="00E621A7" w:rsidP="005F7840">
            <w:pPr>
              <w:pStyle w:val="KeinLeerraum"/>
              <w:rPr>
                <w:u w:val="single"/>
              </w:rPr>
            </w:pPr>
            <w:r w:rsidRPr="0083231E">
              <w:rPr>
                <w:u w:val="single"/>
              </w:rPr>
              <w:t>EU Verzeichnis</w:t>
            </w:r>
            <w:r w:rsidR="00DF5734" w:rsidRPr="0083231E">
              <w:rPr>
                <w:u w:val="single"/>
              </w:rPr>
              <w:t>:</w:t>
            </w:r>
          </w:p>
        </w:tc>
        <w:tc>
          <w:tcPr>
            <w:tcW w:w="2551" w:type="dxa"/>
          </w:tcPr>
          <w:p w14:paraId="69D8D51A" w14:textId="77777777" w:rsidR="00E621A7" w:rsidRPr="0083231E" w:rsidRDefault="00E621A7" w:rsidP="005F7840">
            <w:pPr>
              <w:pStyle w:val="KeinLeerraum"/>
              <w:rPr>
                <w:u w:val="single"/>
              </w:rPr>
            </w:pPr>
            <w:r w:rsidRPr="0083231E">
              <w:rPr>
                <w:u w:val="single"/>
              </w:rPr>
              <w:t>Einstufung</w:t>
            </w:r>
            <w:r w:rsidR="00DF5734" w:rsidRPr="0083231E">
              <w:rPr>
                <w:u w:val="single"/>
              </w:rPr>
              <w:t>:</w:t>
            </w:r>
          </w:p>
        </w:tc>
      </w:tr>
      <w:tr w:rsidR="00E621A7" w:rsidRPr="0083231E" w14:paraId="00A1999E" w14:textId="77777777" w:rsidTr="00E73261">
        <w:trPr>
          <w:trHeight w:val="397"/>
        </w:trPr>
        <w:tc>
          <w:tcPr>
            <w:tcW w:w="2663" w:type="dxa"/>
          </w:tcPr>
          <w:p w14:paraId="0B62DB87" w14:textId="77777777" w:rsidR="00E621A7" w:rsidRPr="0083231E" w:rsidRDefault="00E621A7" w:rsidP="005F7840">
            <w:pPr>
              <w:pStyle w:val="KeinLeerraum"/>
            </w:pPr>
            <w:proofErr w:type="spellStart"/>
            <w:r w:rsidRPr="0083231E">
              <w:t>Perfluoralkan</w:t>
            </w:r>
            <w:proofErr w:type="spellEnd"/>
          </w:p>
        </w:tc>
        <w:tc>
          <w:tcPr>
            <w:tcW w:w="1449" w:type="dxa"/>
          </w:tcPr>
          <w:p w14:paraId="6A8C787F" w14:textId="77777777" w:rsidR="00E621A7" w:rsidRPr="0083231E" w:rsidRDefault="00303651" w:rsidP="005F7840">
            <w:pPr>
              <w:pStyle w:val="KeinLeerraum"/>
            </w:pPr>
            <w:r w:rsidRPr="0083231E">
              <w:t>308069-13-8</w:t>
            </w:r>
          </w:p>
        </w:tc>
        <w:tc>
          <w:tcPr>
            <w:tcW w:w="1984" w:type="dxa"/>
          </w:tcPr>
          <w:p w14:paraId="29F791A8" w14:textId="77777777" w:rsidR="00E621A7" w:rsidRPr="0083231E" w:rsidRDefault="00E621A7" w:rsidP="005F7840">
            <w:pPr>
              <w:pStyle w:val="KeinLeerraum"/>
            </w:pPr>
          </w:p>
        </w:tc>
        <w:tc>
          <w:tcPr>
            <w:tcW w:w="2551" w:type="dxa"/>
          </w:tcPr>
          <w:p w14:paraId="199B94A1" w14:textId="77777777" w:rsidR="00E621A7" w:rsidRPr="0083231E" w:rsidRDefault="00E621A7" w:rsidP="005F7840">
            <w:pPr>
              <w:pStyle w:val="KeinLeerraum"/>
            </w:pPr>
          </w:p>
        </w:tc>
      </w:tr>
      <w:tr w:rsidR="00E621A7" w:rsidRPr="0083231E" w14:paraId="405011E3" w14:textId="77777777" w:rsidTr="00E73261">
        <w:trPr>
          <w:trHeight w:val="1020"/>
        </w:trPr>
        <w:tc>
          <w:tcPr>
            <w:tcW w:w="2663" w:type="dxa"/>
          </w:tcPr>
          <w:p w14:paraId="528EED8E" w14:textId="77777777" w:rsidR="00E621A7" w:rsidRPr="0083231E" w:rsidRDefault="00E621A7" w:rsidP="005F7840">
            <w:pPr>
              <w:pStyle w:val="KeinLeerraum"/>
              <w:rPr>
                <w:bCs/>
              </w:rPr>
            </w:pPr>
            <w:proofErr w:type="spellStart"/>
            <w:r w:rsidRPr="0083231E">
              <w:t>Ethylnonafluorbutylether</w:t>
            </w:r>
            <w:proofErr w:type="spellEnd"/>
            <w:r w:rsidRPr="0083231E">
              <w:t xml:space="preserve"> (REACH Registrierungs-Nr.: 01-0000017174-74)</w:t>
            </w:r>
          </w:p>
        </w:tc>
        <w:tc>
          <w:tcPr>
            <w:tcW w:w="1449" w:type="dxa"/>
          </w:tcPr>
          <w:p w14:paraId="503C5267" w14:textId="77777777" w:rsidR="00E621A7" w:rsidRPr="0083231E" w:rsidRDefault="00E621A7" w:rsidP="005F7840">
            <w:pPr>
              <w:pStyle w:val="KeinLeerraum"/>
            </w:pPr>
            <w:r w:rsidRPr="0083231E">
              <w:t>163702-05-4</w:t>
            </w:r>
          </w:p>
        </w:tc>
        <w:tc>
          <w:tcPr>
            <w:tcW w:w="1984" w:type="dxa"/>
          </w:tcPr>
          <w:p w14:paraId="35321B5A" w14:textId="77777777" w:rsidR="00E621A7" w:rsidRPr="0083231E" w:rsidRDefault="00E621A7" w:rsidP="005F7840">
            <w:pPr>
              <w:pStyle w:val="KeinLeerraum"/>
            </w:pPr>
            <w:r w:rsidRPr="0083231E">
              <w:t>ELINCS 425-340-0</w:t>
            </w:r>
          </w:p>
        </w:tc>
        <w:tc>
          <w:tcPr>
            <w:tcW w:w="2551" w:type="dxa"/>
          </w:tcPr>
          <w:p w14:paraId="5E500EAE" w14:textId="77777777" w:rsidR="00E621A7" w:rsidRPr="0083231E" w:rsidRDefault="00E621A7" w:rsidP="00822F63">
            <w:pPr>
              <w:pStyle w:val="KeinLeerraum"/>
            </w:pPr>
            <w:r w:rsidRPr="0083231E">
              <w:t>R53 (Selbsteinstufung)</w:t>
            </w:r>
            <w:r w:rsidR="00822F63" w:rsidRPr="0083231E">
              <w:t>,</w:t>
            </w:r>
            <w:r w:rsidR="00822F63" w:rsidRPr="0083231E">
              <w:br/>
            </w:r>
            <w:proofErr w:type="spellStart"/>
            <w:r w:rsidRPr="0083231E">
              <w:t>Aquatic</w:t>
            </w:r>
            <w:proofErr w:type="spellEnd"/>
            <w:r w:rsidRPr="0083231E">
              <w:t xml:space="preserve"> </w:t>
            </w:r>
            <w:proofErr w:type="spellStart"/>
            <w:r w:rsidRPr="0083231E">
              <w:t>Chronic</w:t>
            </w:r>
            <w:proofErr w:type="spellEnd"/>
            <w:r w:rsidRPr="0083231E">
              <w:t xml:space="preserve"> 4, H413 (Selbsteinstufung)</w:t>
            </w:r>
          </w:p>
        </w:tc>
      </w:tr>
      <w:tr w:rsidR="00303651" w:rsidRPr="0083231E" w14:paraId="089A1385" w14:textId="77777777" w:rsidTr="00E73261">
        <w:trPr>
          <w:trHeight w:val="850"/>
        </w:trPr>
        <w:tc>
          <w:tcPr>
            <w:tcW w:w="2663" w:type="dxa"/>
          </w:tcPr>
          <w:p w14:paraId="5ACB01C9" w14:textId="77777777" w:rsidR="00303651" w:rsidRPr="0083231E" w:rsidRDefault="00303651" w:rsidP="005F7840">
            <w:pPr>
              <w:pStyle w:val="KeinLeerraum"/>
            </w:pPr>
            <w:proofErr w:type="spellStart"/>
            <w:r w:rsidRPr="0083231E">
              <w:t>Ethylnonafluorisobutylether</w:t>
            </w:r>
            <w:proofErr w:type="spellEnd"/>
            <w:r w:rsidRPr="0083231E">
              <w:t xml:space="preserve"> (REACH Registrierungs-Nr.: 01-0000017174-74)</w:t>
            </w:r>
          </w:p>
        </w:tc>
        <w:tc>
          <w:tcPr>
            <w:tcW w:w="1449" w:type="dxa"/>
          </w:tcPr>
          <w:p w14:paraId="3910716F" w14:textId="77777777" w:rsidR="00303651" w:rsidRPr="0083231E" w:rsidRDefault="00303651" w:rsidP="005F7840">
            <w:pPr>
              <w:pStyle w:val="KeinLeerraum"/>
            </w:pPr>
            <w:r w:rsidRPr="0083231E">
              <w:t>163702-06-5</w:t>
            </w:r>
          </w:p>
        </w:tc>
        <w:tc>
          <w:tcPr>
            <w:tcW w:w="1984" w:type="dxa"/>
          </w:tcPr>
          <w:p w14:paraId="46DC7B00" w14:textId="77777777" w:rsidR="00303651" w:rsidRPr="0083231E" w:rsidRDefault="00303651" w:rsidP="005F7840">
            <w:pPr>
              <w:pStyle w:val="KeinLeerraum"/>
            </w:pPr>
            <w:r w:rsidRPr="0083231E">
              <w:t>ELINCS 425-340-0</w:t>
            </w:r>
          </w:p>
        </w:tc>
        <w:tc>
          <w:tcPr>
            <w:tcW w:w="2551" w:type="dxa"/>
          </w:tcPr>
          <w:p w14:paraId="13679A60" w14:textId="77777777" w:rsidR="00303651" w:rsidRPr="0083231E" w:rsidRDefault="00303651" w:rsidP="005F7840">
            <w:pPr>
              <w:pStyle w:val="KeinLeerraum"/>
            </w:pPr>
            <w:r w:rsidRPr="0083231E">
              <w:t>R53 (Selbsteinstufung)</w:t>
            </w:r>
            <w:r w:rsidR="00822F63" w:rsidRPr="0083231E">
              <w:t>,</w:t>
            </w:r>
            <w:r w:rsidR="00822F63" w:rsidRPr="0083231E">
              <w:br/>
            </w:r>
            <w:proofErr w:type="spellStart"/>
            <w:r w:rsidRPr="0083231E">
              <w:t>Aquatic</w:t>
            </w:r>
            <w:proofErr w:type="spellEnd"/>
            <w:r w:rsidRPr="0083231E">
              <w:t xml:space="preserve"> </w:t>
            </w:r>
            <w:proofErr w:type="spellStart"/>
            <w:r w:rsidRPr="0083231E">
              <w:t>Chronic</w:t>
            </w:r>
            <w:proofErr w:type="spellEnd"/>
            <w:r w:rsidRPr="0083231E">
              <w:t xml:space="preserve"> 4, H413 (Selbsteinstufung)</w:t>
            </w:r>
          </w:p>
        </w:tc>
      </w:tr>
    </w:tbl>
    <w:p w14:paraId="19EB831A" w14:textId="77777777" w:rsidR="00822F63" w:rsidRPr="0083231E" w:rsidRDefault="00822F63" w:rsidP="00822F63">
      <w:r w:rsidRPr="0083231E">
        <w:t>_______________________________________________________________________________________</w:t>
      </w:r>
    </w:p>
    <w:p w14:paraId="7B112F3E" w14:textId="77777777" w:rsidR="00AB18FE" w:rsidRPr="0083231E" w:rsidRDefault="00AB18FE" w:rsidP="007F2F79">
      <w:pPr>
        <w:pStyle w:val="berschrift3"/>
      </w:pPr>
      <w:r w:rsidRPr="0083231E">
        <w:t>ABSCHNITT</w:t>
      </w:r>
      <w:r w:rsidR="002F1645" w:rsidRPr="0083231E">
        <w:t xml:space="preserve">: </w:t>
      </w:r>
      <w:r w:rsidR="006D06CD" w:rsidRPr="0083231E">
        <w:t>Erste-Hilfe-Maßnahmen</w:t>
      </w:r>
    </w:p>
    <w:p w14:paraId="5D4E6392" w14:textId="77777777" w:rsidR="007F2F79" w:rsidRPr="0083231E" w:rsidRDefault="007F2F79" w:rsidP="007F2F79">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234EB03B" w14:textId="77777777" w:rsidR="00160849" w:rsidRPr="0083231E" w:rsidRDefault="006D06CD" w:rsidP="007F2F79">
      <w:pPr>
        <w:pStyle w:val="berschrift4"/>
      </w:pPr>
      <w:r w:rsidRPr="0083231E">
        <w:t>Beschreibung der Erste-Hilfe-Maßnahmen</w:t>
      </w:r>
    </w:p>
    <w:p w14:paraId="1CCB9942" w14:textId="77777777" w:rsidR="00E75130" w:rsidRPr="0083231E" w:rsidRDefault="00547DBC" w:rsidP="005F7840">
      <w:pPr>
        <w:rPr>
          <w:rStyle w:val="UntertitelZchn"/>
        </w:rPr>
      </w:pPr>
      <w:r w:rsidRPr="0083231E">
        <w:rPr>
          <w:rStyle w:val="UntertitelZchn"/>
        </w:rPr>
        <w:lastRenderedPageBreak/>
        <w:t>A</w:t>
      </w:r>
      <w:r w:rsidR="00516D1C" w:rsidRPr="0083231E">
        <w:rPr>
          <w:rStyle w:val="UntertitelZchn"/>
        </w:rPr>
        <w:t>llgemeine Angaben</w:t>
      </w:r>
    </w:p>
    <w:p w14:paraId="49C339F0" w14:textId="77777777" w:rsidR="004C789F" w:rsidRPr="0083231E" w:rsidRDefault="00B75A96" w:rsidP="005F7840">
      <w:pPr>
        <w:pStyle w:val="berschrift1"/>
        <w:rPr>
          <w:sz w:val="22"/>
          <w:szCs w:val="22"/>
        </w:rPr>
      </w:pPr>
      <w:r w:rsidRPr="0083231E">
        <w:t xml:space="preserve">Bei anhaltenden Beschwerden sollte ein </w:t>
      </w:r>
      <w:r w:rsidR="00DA54B2" w:rsidRPr="0083231E">
        <w:t>ärztlicher</w:t>
      </w:r>
      <w:r w:rsidRPr="0083231E">
        <w:t xml:space="preserve"> Rat eingeholt werden.</w:t>
      </w:r>
    </w:p>
    <w:p w14:paraId="61929888" w14:textId="77777777" w:rsidR="00E75130" w:rsidRPr="0083231E" w:rsidRDefault="001E7BDF" w:rsidP="005F7840">
      <w:pPr>
        <w:pStyle w:val="Untertitel"/>
        <w:rPr>
          <w:rStyle w:val="UntertitelZchn"/>
        </w:rPr>
      </w:pPr>
      <w:r w:rsidRPr="0083231E">
        <w:rPr>
          <w:rStyle w:val="UntertitelZchn"/>
        </w:rPr>
        <w:tab/>
      </w:r>
      <w:r w:rsidR="00547DBC" w:rsidRPr="0083231E">
        <w:t>Nach Einatmen</w:t>
      </w:r>
    </w:p>
    <w:p w14:paraId="4FF28C45" w14:textId="77777777" w:rsidR="00150ADE" w:rsidRPr="0083231E" w:rsidRDefault="00B75A96" w:rsidP="005F7840">
      <w:pPr>
        <w:pStyle w:val="berschrift1"/>
      </w:pPr>
      <w:r w:rsidRPr="0083231E">
        <w:t>Nach dem Einatmen von Zersetzungsprodukten</w:t>
      </w:r>
      <w:r w:rsidR="00FA746A" w:rsidRPr="0083231E">
        <w:t>, Staub, Dampf oder Aerosolen</w:t>
      </w:r>
      <w:r w:rsidRPr="0083231E">
        <w:t xml:space="preserve"> sollte d</w:t>
      </w:r>
      <w:r w:rsidR="00AA1F90" w:rsidRPr="0083231E">
        <w:t>ie</w:t>
      </w:r>
      <w:r w:rsidR="004E0BCA" w:rsidRPr="0083231E">
        <w:t xml:space="preserve"> </w:t>
      </w:r>
      <w:r w:rsidR="00502444" w:rsidRPr="0083231E">
        <w:t>betroffene</w:t>
      </w:r>
      <w:r w:rsidR="004E0BCA" w:rsidRPr="0083231E">
        <w:t xml:space="preserve"> Person</w:t>
      </w:r>
      <w:r w:rsidR="00AA1F90" w:rsidRPr="0083231E">
        <w:t xml:space="preserve"> aus </w:t>
      </w:r>
      <w:r w:rsidRPr="0083231E">
        <w:t>dem Gefahrenbereich entfernt und unter Frischluftzufuhr ruhig gelagert werden.</w:t>
      </w:r>
      <w:r w:rsidR="00502444" w:rsidRPr="0083231E">
        <w:t xml:space="preserve"> </w:t>
      </w:r>
      <w:r w:rsidRPr="0083231E">
        <w:t>Ärztliche Behandlung wird strengstens empfohlen.</w:t>
      </w:r>
    </w:p>
    <w:p w14:paraId="26FC1E5E" w14:textId="77777777" w:rsidR="00E75130" w:rsidRPr="0083231E" w:rsidRDefault="001E7BDF" w:rsidP="005F7840">
      <w:pPr>
        <w:pStyle w:val="Untertitel"/>
      </w:pPr>
      <w:r w:rsidRPr="0083231E">
        <w:tab/>
      </w:r>
      <w:r w:rsidR="00516D1C" w:rsidRPr="0083231E">
        <w:t>Nach Hautkontakt</w:t>
      </w:r>
    </w:p>
    <w:p w14:paraId="3125B3D2" w14:textId="77777777" w:rsidR="00150ADE" w:rsidRPr="0083231E" w:rsidRDefault="00E73261" w:rsidP="005F7840">
      <w:pPr>
        <w:pStyle w:val="berschrift1"/>
        <w:rPr>
          <w:b/>
          <w:bCs/>
        </w:rPr>
      </w:pPr>
      <w:r w:rsidRPr="0083231E">
        <w:t>Mit Wasser und</w:t>
      </w:r>
      <w:r w:rsidR="00FE319F" w:rsidRPr="0083231E">
        <w:t xml:space="preserve"> </w:t>
      </w:r>
      <w:r w:rsidRPr="0083231E">
        <w:t>Seife</w:t>
      </w:r>
      <w:r w:rsidR="00FE319F" w:rsidRPr="0083231E">
        <w:t xml:space="preserve"> abwaschen.</w:t>
      </w:r>
      <w:r w:rsidR="00AA1F90" w:rsidRPr="0083231E">
        <w:t xml:space="preserve"> Verunreinigte Kleidungsstücke unverzüglich entfernen. Bei Hautreizung</w:t>
      </w:r>
      <w:r w:rsidRPr="0083231E">
        <w:t xml:space="preserve"> oder Unwohlsein</w:t>
      </w:r>
      <w:r w:rsidR="00AA1F90" w:rsidRPr="0083231E">
        <w:t xml:space="preserve"> Arzt konsultieren.</w:t>
      </w:r>
    </w:p>
    <w:p w14:paraId="0E70578F" w14:textId="77777777" w:rsidR="00E75130" w:rsidRPr="0083231E" w:rsidRDefault="00E75130" w:rsidP="005F7840">
      <w:pPr>
        <w:pStyle w:val="Untertitel"/>
      </w:pPr>
      <w:r w:rsidRPr="0083231E">
        <w:tab/>
      </w:r>
      <w:r w:rsidR="00516D1C" w:rsidRPr="0083231E">
        <w:t>Nach Augenkontakt</w:t>
      </w:r>
    </w:p>
    <w:p w14:paraId="06DBBB61" w14:textId="77777777" w:rsidR="00E75130" w:rsidRPr="0083231E" w:rsidRDefault="00A11AB3" w:rsidP="005F7840">
      <w:pPr>
        <w:pStyle w:val="berschrift1"/>
      </w:pPr>
      <w:r w:rsidRPr="0083231E">
        <w:t xml:space="preserve">Kontaktlinsen entfernen. </w:t>
      </w:r>
      <w:r w:rsidR="00FE319F" w:rsidRPr="0083231E">
        <w:t xml:space="preserve">Augen bei geöffnetem </w:t>
      </w:r>
      <w:proofErr w:type="spellStart"/>
      <w:r w:rsidR="00FE319F" w:rsidRPr="0083231E">
        <w:t>Lidspalt</w:t>
      </w:r>
      <w:proofErr w:type="spellEnd"/>
      <w:r w:rsidR="00FE319F" w:rsidRPr="0083231E">
        <w:t xml:space="preserve"> mehrere Minut</w:t>
      </w:r>
      <w:r w:rsidR="00B75A96" w:rsidRPr="0083231E">
        <w:t xml:space="preserve">en mit fließendem Wasser spülen und einen Arzt aufsuchen. </w:t>
      </w:r>
    </w:p>
    <w:p w14:paraId="36B03515" w14:textId="77777777" w:rsidR="00E75130" w:rsidRPr="0083231E" w:rsidRDefault="00516D1C" w:rsidP="005F7840">
      <w:pPr>
        <w:pStyle w:val="Untertitel"/>
      </w:pPr>
      <w:r w:rsidRPr="0083231E">
        <w:t>Nach Verschlucken</w:t>
      </w:r>
    </w:p>
    <w:p w14:paraId="20F12CFD" w14:textId="77777777" w:rsidR="00E75130" w:rsidRPr="0083231E" w:rsidRDefault="00FE319F" w:rsidP="005F7840">
      <w:pPr>
        <w:pStyle w:val="berschrift1"/>
      </w:pPr>
      <w:r w:rsidRPr="0083231E">
        <w:t xml:space="preserve">Mund mit Wasser ausspülen. </w:t>
      </w:r>
      <w:r w:rsidR="00AA1F90" w:rsidRPr="0083231E">
        <w:t>Viel Wasser trinken und einen Arzt aufsuchen</w:t>
      </w:r>
      <w:r w:rsidR="00B75A96" w:rsidRPr="0083231E">
        <w:t xml:space="preserve"> (</w:t>
      </w:r>
      <w:r w:rsidR="00DA54B2" w:rsidRPr="0083231E">
        <w:t>symptomatische</w:t>
      </w:r>
      <w:r w:rsidR="00B75A96" w:rsidRPr="0083231E">
        <w:t xml:space="preserve"> Behandlung)</w:t>
      </w:r>
      <w:r w:rsidR="00AA1F90" w:rsidRPr="0083231E">
        <w:t xml:space="preserve">. </w:t>
      </w:r>
    </w:p>
    <w:p w14:paraId="5F57AEE4" w14:textId="77777777" w:rsidR="000963F5" w:rsidRPr="0083231E" w:rsidRDefault="000963F5" w:rsidP="005F7840">
      <w:pPr>
        <w:pStyle w:val="berschrift4"/>
      </w:pPr>
      <w:r w:rsidRPr="0083231E">
        <w:t>Wichtigste akute und verzögert auftretende Symptome und Wirkungen</w:t>
      </w:r>
    </w:p>
    <w:p w14:paraId="41DD3785" w14:textId="77777777" w:rsidR="000963F5" w:rsidRPr="0083231E" w:rsidRDefault="006C18F4" w:rsidP="005F7840">
      <w:pPr>
        <w:pStyle w:val="berschrift1"/>
      </w:pPr>
      <w:r w:rsidRPr="0083231E">
        <w:t xml:space="preserve">Keine Daten verfügbar. </w:t>
      </w:r>
    </w:p>
    <w:p w14:paraId="5EA7C939" w14:textId="77777777" w:rsidR="006C18F4" w:rsidRPr="0083231E" w:rsidRDefault="006C18F4" w:rsidP="007F2F79">
      <w:pPr>
        <w:ind w:firstLine="703"/>
        <w:rPr>
          <w:rStyle w:val="Hervorhebung"/>
        </w:rPr>
      </w:pPr>
      <w:r w:rsidRPr="0083231E">
        <w:rPr>
          <w:rStyle w:val="Hervorhebung"/>
        </w:rPr>
        <w:t>Informationen über toxikologische Eigenschaften: siehe Abschnitt 11.1</w:t>
      </w:r>
    </w:p>
    <w:p w14:paraId="65DF7CBA" w14:textId="77777777" w:rsidR="000963F5" w:rsidRPr="0083231E" w:rsidRDefault="000963F5" w:rsidP="005F7840">
      <w:pPr>
        <w:pStyle w:val="berschrift4"/>
      </w:pPr>
      <w:r w:rsidRPr="0083231E">
        <w:t>Hinweise auf ärztliche Soforthilfe oder Spezialbehandlung</w:t>
      </w:r>
    </w:p>
    <w:p w14:paraId="49C0D06C" w14:textId="77777777" w:rsidR="000963F5" w:rsidRPr="0083231E" w:rsidRDefault="006517AA" w:rsidP="005F7840">
      <w:pPr>
        <w:pStyle w:val="Untertitel"/>
      </w:pPr>
      <w:r w:rsidRPr="0083231E">
        <w:t>Behandlung</w:t>
      </w:r>
    </w:p>
    <w:p w14:paraId="0508ABCF" w14:textId="77777777" w:rsidR="000963F5" w:rsidRPr="0083231E" w:rsidRDefault="000963F5" w:rsidP="005F7840">
      <w:pPr>
        <w:pStyle w:val="berschrift1"/>
      </w:pPr>
      <w:r w:rsidRPr="0083231E">
        <w:t>Symptomatische Behandlung.</w:t>
      </w:r>
    </w:p>
    <w:p w14:paraId="38B3DF3E" w14:textId="77777777" w:rsidR="00B87536" w:rsidRPr="0083231E" w:rsidRDefault="0084209D" w:rsidP="005F7840">
      <w:pPr>
        <w:pStyle w:val="Titel"/>
      </w:pPr>
      <w:r w:rsidRPr="0083231E">
        <w:t>________________________________________________________________________________</w:t>
      </w:r>
      <w:r w:rsidR="001A2816" w:rsidRPr="0083231E">
        <w:t>_____</w:t>
      </w:r>
      <w:r w:rsidR="00D752EF" w:rsidRPr="0083231E">
        <w:t>__</w:t>
      </w:r>
    </w:p>
    <w:p w14:paraId="67882C75" w14:textId="77777777" w:rsidR="00AB18FE" w:rsidRPr="0083231E" w:rsidRDefault="00AB18FE" w:rsidP="007F2F79">
      <w:pPr>
        <w:pStyle w:val="berschrift3"/>
      </w:pPr>
      <w:r w:rsidRPr="0083231E">
        <w:t>ABSCHNITT</w:t>
      </w:r>
      <w:r w:rsidR="002F1645" w:rsidRPr="0083231E">
        <w:t xml:space="preserve">: </w:t>
      </w:r>
      <w:r w:rsidR="008B14E3" w:rsidRPr="0083231E">
        <w:t>Maßnahmen zur Brandbekämpfung</w:t>
      </w:r>
    </w:p>
    <w:p w14:paraId="6E1E63A9" w14:textId="77777777" w:rsidR="007F2F79" w:rsidRPr="0083231E" w:rsidRDefault="007F2F79" w:rsidP="007F2F79">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1EE23E76" w14:textId="77777777" w:rsidR="00FE319F" w:rsidRPr="0083231E" w:rsidRDefault="008B14E3" w:rsidP="007F2F79">
      <w:pPr>
        <w:pStyle w:val="berschrift4"/>
      </w:pPr>
      <w:r w:rsidRPr="0083231E">
        <w:t>Löschmittel</w:t>
      </w:r>
    </w:p>
    <w:p w14:paraId="6882F647" w14:textId="77777777" w:rsidR="006C0EDA" w:rsidRPr="0083231E" w:rsidRDefault="008B14E3" w:rsidP="005F7840">
      <w:pPr>
        <w:pStyle w:val="Untertitel"/>
      </w:pPr>
      <w:r w:rsidRPr="0083231E">
        <w:t>Geeignete Löschmittel</w:t>
      </w:r>
    </w:p>
    <w:p w14:paraId="032EF197" w14:textId="77777777" w:rsidR="004B2332" w:rsidRPr="0083231E" w:rsidRDefault="004B2332" w:rsidP="007F2F79">
      <w:pPr>
        <w:ind w:left="703"/>
        <w:rPr>
          <w:rStyle w:val="berschrift1Zchn"/>
        </w:rPr>
      </w:pPr>
      <w:r w:rsidRPr="0083231E">
        <w:rPr>
          <w:rStyle w:val="berschrift1Zchn"/>
        </w:rPr>
        <w:t xml:space="preserve">Das Produkt selbst brennt nicht und daher müssen die Löschmaßnahmen auf den Umgebungsbrand abstimmen werden. </w:t>
      </w:r>
    </w:p>
    <w:p w14:paraId="3AF6E1A2" w14:textId="77777777" w:rsidR="005110CC" w:rsidRPr="0083231E" w:rsidRDefault="008B14E3" w:rsidP="005F7840">
      <w:pPr>
        <w:pStyle w:val="berschrift4"/>
      </w:pPr>
      <w:r w:rsidRPr="0083231E">
        <w:t>Besondere vom Stoff oder Gemisch ausgehende Gefahren</w:t>
      </w:r>
    </w:p>
    <w:p w14:paraId="2C3ACB0A" w14:textId="77777777" w:rsidR="004B2332" w:rsidRPr="0083231E" w:rsidRDefault="004B2332" w:rsidP="005F7840">
      <w:pPr>
        <w:pStyle w:val="berschrift1"/>
      </w:pPr>
      <w:r w:rsidRPr="0083231E">
        <w:t xml:space="preserve">Wie in jedem Brandfall können sich typische Rauchgaskomponenten wie toxische Rußpartikel, Kohlenstoffoxide und Formaldehyd, sowie zusätzlich Fluorwasserstoffsäure und flüchtige </w:t>
      </w:r>
      <w:r w:rsidR="00DA54B2" w:rsidRPr="0083231E">
        <w:t>Fluorkohlenwasserstoffe</w:t>
      </w:r>
      <w:r w:rsidRPr="0083231E">
        <w:t xml:space="preserve">  bilden.</w:t>
      </w:r>
    </w:p>
    <w:p w14:paraId="668BF82D" w14:textId="77777777" w:rsidR="004B2332" w:rsidRPr="0083231E" w:rsidRDefault="004B2332" w:rsidP="005F7840">
      <w:pPr>
        <w:pStyle w:val="berschrift1"/>
      </w:pPr>
      <w:r w:rsidRPr="0083231E">
        <w:t xml:space="preserve">Unter pyrolytischen Bedingungen  (extreme Überhitzung bei geringem Luftzutritt) können so genannte </w:t>
      </w:r>
      <w:proofErr w:type="spellStart"/>
      <w:r w:rsidRPr="0083231E">
        <w:t>Teflongifte</w:t>
      </w:r>
      <w:proofErr w:type="spellEnd"/>
      <w:r w:rsidRPr="0083231E">
        <w:t xml:space="preserve">, z.B. hochtoxisches </w:t>
      </w:r>
      <w:proofErr w:type="spellStart"/>
      <w:r w:rsidRPr="0083231E">
        <w:t>Perfluorisobuten</w:t>
      </w:r>
      <w:proofErr w:type="spellEnd"/>
      <w:r w:rsidRPr="0083231E">
        <w:t xml:space="preserve"> (CAS: 382-21-8;  EC: 609-533-9) entstehen.</w:t>
      </w:r>
    </w:p>
    <w:p w14:paraId="22BCC35F" w14:textId="77777777" w:rsidR="00516D1C" w:rsidRPr="0083231E" w:rsidRDefault="00516D1C">
      <w:pPr>
        <w:spacing w:after="0"/>
        <w:rPr>
          <w:b/>
          <w:bCs/>
          <w:color w:val="000000" w:themeColor="text1"/>
          <w:sz w:val="22"/>
          <w:szCs w:val="22"/>
        </w:rPr>
      </w:pPr>
      <w:r w:rsidRPr="0083231E">
        <w:br w:type="page"/>
      </w:r>
    </w:p>
    <w:p w14:paraId="3E9FD201" w14:textId="77777777" w:rsidR="00486568" w:rsidRPr="0083231E" w:rsidRDefault="008B14E3" w:rsidP="005F7840">
      <w:pPr>
        <w:pStyle w:val="berschrift4"/>
      </w:pPr>
      <w:r w:rsidRPr="0083231E">
        <w:lastRenderedPageBreak/>
        <w:t>Hinweise für die Brandbekämpfung</w:t>
      </w:r>
    </w:p>
    <w:p w14:paraId="14483693" w14:textId="77777777" w:rsidR="00664490" w:rsidRPr="0083231E" w:rsidRDefault="005444A0" w:rsidP="005F7840">
      <w:pPr>
        <w:pStyle w:val="berschrift1"/>
      </w:pPr>
      <w:r w:rsidRPr="0083231E">
        <w:tab/>
      </w:r>
      <w:r w:rsidR="00AA1F90" w:rsidRPr="0083231E">
        <w:t>Im Brandfall Explosions- und Brandgase nicht einatmen.</w:t>
      </w:r>
      <w:r w:rsidR="00FA746A" w:rsidRPr="0083231E">
        <w:t xml:space="preserve"> U</w:t>
      </w:r>
      <w:r w:rsidR="0036069B" w:rsidRPr="0083231E">
        <w:t>mgebungsluftunabhängiges Atemschutzgerät bzw. Vollkörperschutz tragen. Gefährdete Behälter mit Wasser kühlen. Kontaminiertes Löschwasser entsprechend den behördlichen Vorschriften entsorgen.</w:t>
      </w:r>
    </w:p>
    <w:p w14:paraId="31626072" w14:textId="77777777" w:rsidR="0031422A" w:rsidRPr="0083231E" w:rsidRDefault="0031422A" w:rsidP="005F7840">
      <w:pPr>
        <w:pStyle w:val="Titel"/>
      </w:pPr>
      <w:r w:rsidRPr="0083231E">
        <w:t>_______________________________________________________________________________________</w:t>
      </w:r>
    </w:p>
    <w:p w14:paraId="261AD45A" w14:textId="77777777" w:rsidR="006C0EDA" w:rsidRPr="0083231E" w:rsidRDefault="00AB18FE" w:rsidP="007F2F79">
      <w:pPr>
        <w:pStyle w:val="berschrift3"/>
      </w:pPr>
      <w:r w:rsidRPr="0083231E">
        <w:rPr>
          <w:color w:val="000000"/>
        </w:rPr>
        <w:t>ABSCHNITT</w:t>
      </w:r>
      <w:r w:rsidR="002F1645" w:rsidRPr="0083231E">
        <w:rPr>
          <w:color w:val="000000"/>
        </w:rPr>
        <w:t xml:space="preserve">: </w:t>
      </w:r>
      <w:r w:rsidR="00717EC0" w:rsidRPr="0083231E">
        <w:t>Maßnahmen bei unbeabsichtigter Freisetzung</w:t>
      </w:r>
    </w:p>
    <w:p w14:paraId="6E51397D" w14:textId="77777777" w:rsidR="007F2F79" w:rsidRPr="0083231E" w:rsidRDefault="007F2F79" w:rsidP="007F2F79">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3D176479" w14:textId="77777777" w:rsidR="006C0EDA" w:rsidRPr="0083231E" w:rsidRDefault="00717EC0" w:rsidP="007F2F79">
      <w:pPr>
        <w:pStyle w:val="berschrift4"/>
      </w:pPr>
      <w:r w:rsidRPr="0083231E">
        <w:t>Personenbezogene Vorsichtsmaßnahmen, Schutzausrüstungen und in Notfällen anzuwendende Verfahren</w:t>
      </w:r>
    </w:p>
    <w:p w14:paraId="45765DBC" w14:textId="77777777" w:rsidR="00585614" w:rsidRPr="0083231E" w:rsidRDefault="005B0128" w:rsidP="005F7840">
      <w:pPr>
        <w:pStyle w:val="berschrift1"/>
      </w:pPr>
      <w:r w:rsidRPr="0083231E">
        <w:t>Zündquellen (Zigaretten</w:t>
      </w:r>
      <w:r w:rsidR="00E40C9F" w:rsidRPr="0083231E">
        <w:t>, Motoren,</w:t>
      </w:r>
      <w:r w:rsidRPr="0083231E">
        <w:t xml:space="preserve"> etc.) fern halten. Für ausreichende Belüftung sorgen. </w:t>
      </w:r>
      <w:r w:rsidR="00400D6F" w:rsidRPr="0083231E">
        <w:t>Staubbildung vermeiden. Dämpfe</w:t>
      </w:r>
      <w:r w:rsidR="00516D1C" w:rsidRPr="0083231E">
        <w:t xml:space="preserve"> </w:t>
      </w:r>
      <w:r w:rsidR="00400D6F" w:rsidRPr="0083231E">
        <w:t>/</w:t>
      </w:r>
      <w:r w:rsidR="00516D1C" w:rsidRPr="0083231E">
        <w:t xml:space="preserve"> </w:t>
      </w:r>
      <w:r w:rsidR="00400D6F" w:rsidRPr="0083231E">
        <w:t>Nebel</w:t>
      </w:r>
      <w:r w:rsidR="00516D1C" w:rsidRPr="0083231E">
        <w:t xml:space="preserve"> </w:t>
      </w:r>
      <w:r w:rsidR="00400D6F" w:rsidRPr="0083231E">
        <w:t>/</w:t>
      </w:r>
      <w:r w:rsidR="00516D1C" w:rsidRPr="0083231E">
        <w:t xml:space="preserve"> </w:t>
      </w:r>
      <w:r w:rsidR="00400D6F" w:rsidRPr="0083231E">
        <w:t xml:space="preserve">Gas nicht einatmen. </w:t>
      </w:r>
      <w:r w:rsidRPr="0083231E">
        <w:t xml:space="preserve">Augen- und </w:t>
      </w:r>
      <w:r w:rsidR="002F1895" w:rsidRPr="0083231E">
        <w:t>Hautkontakt</w:t>
      </w:r>
      <w:r w:rsidRPr="0083231E">
        <w:t xml:space="preserve"> vermeiden.</w:t>
      </w:r>
      <w:r w:rsidR="00400D6F" w:rsidRPr="0083231E">
        <w:t xml:space="preserve"> Besondere Rutschgefahr durch ausgelaufenes</w:t>
      </w:r>
      <w:r w:rsidR="00516D1C" w:rsidRPr="0083231E">
        <w:t xml:space="preserve"> </w:t>
      </w:r>
      <w:r w:rsidR="00400D6F" w:rsidRPr="0083231E">
        <w:t>/</w:t>
      </w:r>
      <w:r w:rsidR="00516D1C" w:rsidRPr="0083231E">
        <w:t xml:space="preserve"> </w:t>
      </w:r>
      <w:r w:rsidR="00400D6F" w:rsidRPr="0083231E">
        <w:t>verschüttetes Produkt</w:t>
      </w:r>
      <w:r w:rsidR="00516D1C" w:rsidRPr="0083231E">
        <w:t xml:space="preserve"> beachten</w:t>
      </w:r>
      <w:r w:rsidR="00400D6F" w:rsidRPr="0083231E">
        <w:t xml:space="preserve">. </w:t>
      </w:r>
    </w:p>
    <w:p w14:paraId="68F6BEB9" w14:textId="77777777" w:rsidR="00F03BFC" w:rsidRPr="0083231E" w:rsidRDefault="00400D6F" w:rsidP="005F7840">
      <w:pPr>
        <w:pStyle w:val="berschrift1"/>
      </w:pPr>
      <w:r w:rsidRPr="0083231E">
        <w:t>Persönlic</w:t>
      </w:r>
      <w:r w:rsidR="006E29F3" w:rsidRPr="0083231E">
        <w:t xml:space="preserve">he Schutzausrüstung siehe </w:t>
      </w:r>
      <w:r w:rsidR="00585614" w:rsidRPr="0083231E">
        <w:t>Abschnitt</w:t>
      </w:r>
      <w:r w:rsidR="006E29F3" w:rsidRPr="0083231E">
        <w:t xml:space="preserve"> 8</w:t>
      </w:r>
      <w:r w:rsidRPr="0083231E">
        <w:t>.</w:t>
      </w:r>
    </w:p>
    <w:p w14:paraId="5CFFBFB5" w14:textId="77777777" w:rsidR="006C0EDA" w:rsidRPr="0083231E" w:rsidRDefault="00717EC0" w:rsidP="005F7840">
      <w:pPr>
        <w:pStyle w:val="berschrift4"/>
      </w:pPr>
      <w:r w:rsidRPr="0083231E">
        <w:t>Umweltschutzmaßnahmen</w:t>
      </w:r>
    </w:p>
    <w:p w14:paraId="5A6A704C" w14:textId="77777777" w:rsidR="00717EC0" w:rsidRPr="0083231E" w:rsidRDefault="005B0128" w:rsidP="005F7840">
      <w:pPr>
        <w:pStyle w:val="berschrift1"/>
        <w:rPr>
          <w:b/>
        </w:rPr>
      </w:pPr>
      <w:r w:rsidRPr="0083231E">
        <w:t>Nicht in die Kanalisation gelangen lassen. Eindringen in das Oberflächen- sowie Grundwasser als auch in den Boden vermeiden.</w:t>
      </w:r>
    </w:p>
    <w:p w14:paraId="406302E1" w14:textId="77777777" w:rsidR="00B70387" w:rsidRPr="0083231E" w:rsidRDefault="00717EC0" w:rsidP="005F7840">
      <w:pPr>
        <w:pStyle w:val="berschrift4"/>
      </w:pPr>
      <w:r w:rsidRPr="0083231E">
        <w:t>Methoden und Material für Rückhaltung und Reinigung</w:t>
      </w:r>
    </w:p>
    <w:p w14:paraId="31724177" w14:textId="77777777" w:rsidR="00E878CB" w:rsidRPr="0083231E" w:rsidRDefault="005B0128" w:rsidP="00E878CB">
      <w:pPr>
        <w:pStyle w:val="berschrift1"/>
      </w:pPr>
      <w:r w:rsidRPr="0083231E">
        <w:t>Heißes</w:t>
      </w:r>
      <w:r w:rsidR="00E40C9F" w:rsidRPr="0083231E">
        <w:t>, geschmolzenes oder erwärmtes</w:t>
      </w:r>
      <w:r w:rsidRPr="0083231E">
        <w:t xml:space="preserve"> Produkt </w:t>
      </w:r>
      <w:r w:rsidR="00E40C9F" w:rsidRPr="0083231E">
        <w:t>abkühlen</w:t>
      </w:r>
      <w:r w:rsidRPr="0083231E">
        <w:t xml:space="preserve">. </w:t>
      </w:r>
      <w:r w:rsidR="00E40C9F" w:rsidRPr="0083231E">
        <w:t>Festes Material m</w:t>
      </w:r>
      <w:r w:rsidR="00400D6F" w:rsidRPr="0083231E">
        <w:t>echanisch</w:t>
      </w:r>
      <w:r w:rsidR="00585614" w:rsidRPr="0083231E">
        <w:t xml:space="preserve"> (Besen, Schaufel)</w:t>
      </w:r>
      <w:r w:rsidR="00400D6F" w:rsidRPr="0083231E">
        <w:t xml:space="preserve"> in </w:t>
      </w:r>
      <w:r w:rsidR="0015385B" w:rsidRPr="0083231E">
        <w:t xml:space="preserve">einen </w:t>
      </w:r>
      <w:r w:rsidR="00400D6F" w:rsidRPr="0083231E">
        <w:t>geeignete</w:t>
      </w:r>
      <w:r w:rsidR="0015385B" w:rsidRPr="0083231E">
        <w:t>n</w:t>
      </w:r>
      <w:r w:rsidR="00400D6F" w:rsidRPr="0083231E">
        <w:t xml:space="preserve"> und verschlossene</w:t>
      </w:r>
      <w:r w:rsidR="0015385B" w:rsidRPr="0083231E">
        <w:t>n</w:t>
      </w:r>
      <w:r w:rsidR="00400D6F" w:rsidRPr="0083231E">
        <w:t xml:space="preserve"> Behälter überführen.</w:t>
      </w:r>
      <w:r w:rsidRPr="0083231E">
        <w:t xml:space="preserve"> </w:t>
      </w:r>
      <w:r w:rsidR="00E40C9F" w:rsidRPr="0083231E">
        <w:t>Flüssiges Material mit Hilfe von absorbierenden, anorganische</w:t>
      </w:r>
      <w:r w:rsidR="00380A39" w:rsidRPr="0083231E">
        <w:t>n Material abbinden und</w:t>
      </w:r>
      <w:r w:rsidR="00E40C9F" w:rsidRPr="0083231E">
        <w:t xml:space="preserve"> sammeln. Rückstände </w:t>
      </w:r>
      <w:r w:rsidR="00380A39" w:rsidRPr="0083231E">
        <w:t>in einem</w:t>
      </w:r>
      <w:r w:rsidR="0015385B" w:rsidRPr="0083231E">
        <w:t xml:space="preserve"> </w:t>
      </w:r>
      <w:r w:rsidR="00E40C9F" w:rsidRPr="0083231E">
        <w:t xml:space="preserve">geeigneten Lösemittel (die Auswahl des geeigneten Lösemittels ist von einer autorisierten und kompetenten Person zu treffen) aufnehmen und in einen </w:t>
      </w:r>
      <w:r w:rsidR="0015385B" w:rsidRPr="0083231E">
        <w:t>B</w:t>
      </w:r>
      <w:r w:rsidR="00E40C9F" w:rsidRPr="0083231E">
        <w:t>ehälter überführen.</w:t>
      </w:r>
      <w:r w:rsidR="0015385B" w:rsidRPr="0083231E">
        <w:t xml:space="preserve"> Den betroffenen Bereich gut belüften.</w:t>
      </w:r>
      <w:r w:rsidR="00E40C9F" w:rsidRPr="0083231E">
        <w:t xml:space="preserve"> </w:t>
      </w:r>
      <w:r w:rsidRPr="0083231E">
        <w:t xml:space="preserve">Staubbildung </w:t>
      </w:r>
      <w:r w:rsidR="0015385B" w:rsidRPr="0083231E">
        <w:t>sowie das Einatmen von Gasen</w:t>
      </w:r>
      <w:r w:rsidR="004222BA" w:rsidRPr="0083231E">
        <w:t xml:space="preserve"> </w:t>
      </w:r>
      <w:r w:rsidR="0015385B" w:rsidRPr="0083231E">
        <w:t>/</w:t>
      </w:r>
      <w:r w:rsidR="004222BA" w:rsidRPr="0083231E">
        <w:t xml:space="preserve"> </w:t>
      </w:r>
      <w:r w:rsidR="0015385B" w:rsidRPr="0083231E">
        <w:t>Dämpfen</w:t>
      </w:r>
      <w:r w:rsidR="004222BA" w:rsidRPr="0083231E">
        <w:t xml:space="preserve"> </w:t>
      </w:r>
      <w:r w:rsidR="0015385B" w:rsidRPr="0083231E">
        <w:t>/</w:t>
      </w:r>
      <w:r w:rsidR="004222BA" w:rsidRPr="0083231E">
        <w:t xml:space="preserve"> </w:t>
      </w:r>
      <w:r w:rsidR="0015385B" w:rsidRPr="0083231E">
        <w:t xml:space="preserve">Aerosolen </w:t>
      </w:r>
      <w:r w:rsidRPr="0083231E">
        <w:t>vermeiden.</w:t>
      </w:r>
      <w:r w:rsidR="00D218FA" w:rsidRPr="0083231E">
        <w:t xml:space="preserve"> </w:t>
      </w:r>
    </w:p>
    <w:p w14:paraId="07462FE6" w14:textId="77777777" w:rsidR="00B70387" w:rsidRPr="0083231E" w:rsidRDefault="00E878CB" w:rsidP="00E878CB">
      <w:pPr>
        <w:pStyle w:val="berschrift1"/>
      </w:pPr>
      <w:r w:rsidRPr="0083231E">
        <w:t>Das Produkt darf nicht in die Kanalisationen, Abläufe oder Schächte gelangen. Eine Kontamination von Oberflächengewässern, Grundgewässern und dem Boden verhindern. Die Substanz trocken aufnehmen und einem anerkannten Entsorgungsunternehmen zuführen.</w:t>
      </w:r>
    </w:p>
    <w:p w14:paraId="2AA850D7" w14:textId="77777777" w:rsidR="002A2902" w:rsidRPr="0083231E" w:rsidRDefault="004916E5" w:rsidP="005F7840">
      <w:pPr>
        <w:pStyle w:val="berschrift4"/>
      </w:pPr>
      <w:r w:rsidRPr="0083231E">
        <w:t>Verweis auf andere Abschnitte</w:t>
      </w:r>
    </w:p>
    <w:p w14:paraId="16320A1F" w14:textId="77777777" w:rsidR="00400D6F" w:rsidRPr="0083231E" w:rsidRDefault="00E878CB" w:rsidP="005F7840">
      <w:pPr>
        <w:pStyle w:val="berschrift1"/>
      </w:pPr>
      <w:r w:rsidRPr="0083231E">
        <w:t>Entsorgung: siehe Abschnitt 13.</w:t>
      </w:r>
    </w:p>
    <w:p w14:paraId="18BAFBB7" w14:textId="77777777" w:rsidR="00B87536" w:rsidRPr="0083231E" w:rsidRDefault="0084209D" w:rsidP="005F7840">
      <w:pPr>
        <w:pStyle w:val="Titel"/>
      </w:pPr>
      <w:r w:rsidRPr="0083231E">
        <w:t>________________________________________________________________________________</w:t>
      </w:r>
      <w:r w:rsidR="00AF2288" w:rsidRPr="0083231E">
        <w:t>_______</w:t>
      </w:r>
    </w:p>
    <w:p w14:paraId="585754A6" w14:textId="77777777" w:rsidR="00B87536" w:rsidRPr="0083231E" w:rsidRDefault="002F1645" w:rsidP="007F2F79">
      <w:pPr>
        <w:pStyle w:val="berschrift3"/>
      </w:pPr>
      <w:r w:rsidRPr="0083231E">
        <w:t xml:space="preserve">ABSCHNITT: </w:t>
      </w:r>
      <w:r w:rsidR="007E2D48" w:rsidRPr="0083231E">
        <w:t>Handhabung und Lagerung</w:t>
      </w:r>
    </w:p>
    <w:p w14:paraId="295754D9" w14:textId="77777777" w:rsidR="007F2F79" w:rsidRPr="0083231E" w:rsidRDefault="007F2F79" w:rsidP="007F2F79">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165EDBEE" w14:textId="77777777" w:rsidR="00D22135" w:rsidRPr="0083231E" w:rsidRDefault="001C1940" w:rsidP="007F2F79">
      <w:pPr>
        <w:pStyle w:val="berschrift4"/>
      </w:pPr>
      <w:r w:rsidRPr="0083231E">
        <w:t>Schutzmaßnahmen zur sicheren Handhabung</w:t>
      </w:r>
    </w:p>
    <w:p w14:paraId="5027FDCB" w14:textId="77777777" w:rsidR="0054171B" w:rsidRPr="0083231E" w:rsidRDefault="003F6F60" w:rsidP="005F7840">
      <w:pPr>
        <w:pStyle w:val="Untertitel"/>
      </w:pPr>
      <w:r w:rsidRPr="0083231E">
        <w:tab/>
        <w:t>Handhabung</w:t>
      </w:r>
    </w:p>
    <w:p w14:paraId="294047C3" w14:textId="77777777" w:rsidR="00ED47D8" w:rsidRPr="0083231E" w:rsidRDefault="005F7840" w:rsidP="005F7840">
      <w:pPr>
        <w:pStyle w:val="berschrift1"/>
        <w:rPr>
          <w:rFonts w:eastAsia="Arial Unicode MS"/>
        </w:rPr>
      </w:pPr>
      <w:r w:rsidRPr="0083231E">
        <w:rPr>
          <w:rStyle w:val="Hervorhebung"/>
        </w:rPr>
        <w:t xml:space="preserve">Nicht in engen Räumen oder Räumen mit unzureichender Belüftung verwenden. </w:t>
      </w:r>
      <w:r w:rsidR="00D4528E" w:rsidRPr="0083231E">
        <w:rPr>
          <w:rFonts w:eastAsia="Arial Unicode MS"/>
        </w:rPr>
        <w:t xml:space="preserve">Bei </w:t>
      </w:r>
      <w:r w:rsidR="003F6F60" w:rsidRPr="0083231E">
        <w:rPr>
          <w:rFonts w:eastAsia="Arial Unicode MS"/>
        </w:rPr>
        <w:t xml:space="preserve">der Bildung von Staub / Dämpfen / Zersetzungsprodukten </w:t>
      </w:r>
      <w:r w:rsidR="00D4528E" w:rsidRPr="0083231E">
        <w:rPr>
          <w:rFonts w:eastAsia="Arial Unicode MS"/>
        </w:rPr>
        <w:t>f</w:t>
      </w:r>
      <w:r w:rsidR="00AF2288" w:rsidRPr="0083231E">
        <w:rPr>
          <w:rFonts w:eastAsia="Arial Unicode MS"/>
        </w:rPr>
        <w:t xml:space="preserve">ür </w:t>
      </w:r>
      <w:r w:rsidR="003F6F60" w:rsidRPr="0083231E">
        <w:rPr>
          <w:rFonts w:eastAsia="Arial Unicode MS"/>
        </w:rPr>
        <w:t xml:space="preserve">eine </w:t>
      </w:r>
      <w:r w:rsidR="00AF2288" w:rsidRPr="0083231E">
        <w:rPr>
          <w:rFonts w:eastAsia="Arial Unicode MS"/>
        </w:rPr>
        <w:t>geeignete Entlüftung sorgen.</w:t>
      </w:r>
      <w:r w:rsidR="00DF25F5" w:rsidRPr="0083231E">
        <w:rPr>
          <w:rFonts w:eastAsia="Arial Unicode MS"/>
        </w:rPr>
        <w:t xml:space="preserve"> Augenkontakt sowie langanhaltenden oder intensiven Hautkontakt vermeiden.</w:t>
      </w:r>
      <w:r w:rsidR="00652132" w:rsidRPr="0083231E">
        <w:rPr>
          <w:rFonts w:eastAsia="Arial Unicode MS"/>
        </w:rPr>
        <w:t xml:space="preserve"> </w:t>
      </w:r>
    </w:p>
    <w:p w14:paraId="220DD6B6" w14:textId="77777777" w:rsidR="00ED47D8" w:rsidRPr="0083231E" w:rsidRDefault="005F7840" w:rsidP="005F7840">
      <w:pPr>
        <w:rPr>
          <w:rStyle w:val="Hervorhebung"/>
        </w:rPr>
      </w:pPr>
      <w:r w:rsidRPr="0083231E">
        <w:rPr>
          <w:rStyle w:val="Hervorhebung"/>
        </w:rPr>
        <w:tab/>
      </w:r>
      <w:r w:rsidR="00ED47D8" w:rsidRPr="0083231E">
        <w:rPr>
          <w:rStyle w:val="Hervorhebung"/>
        </w:rPr>
        <w:t xml:space="preserve">Eine Überschreitung der </w:t>
      </w:r>
      <w:r w:rsidR="00DA54B2" w:rsidRPr="0083231E">
        <w:rPr>
          <w:rStyle w:val="Hervorhebung"/>
        </w:rPr>
        <w:t>Prozesstemperatur</w:t>
      </w:r>
      <w:r w:rsidR="00ED47D8" w:rsidRPr="0083231E">
        <w:rPr>
          <w:rStyle w:val="Hervorhebung"/>
        </w:rPr>
        <w:t xml:space="preserve"> von &gt;200°C vermeiden.</w:t>
      </w:r>
      <w:r w:rsidR="00C039D0" w:rsidRPr="0083231E">
        <w:rPr>
          <w:rStyle w:val="Hervorhebung"/>
        </w:rPr>
        <w:t xml:space="preserve"> </w:t>
      </w:r>
    </w:p>
    <w:p w14:paraId="07F2D9EA" w14:textId="77777777" w:rsidR="00DF25F5" w:rsidRPr="0083231E" w:rsidRDefault="006413A0" w:rsidP="005F7840">
      <w:pPr>
        <w:pStyle w:val="berschrift1"/>
        <w:rPr>
          <w:rStyle w:val="Hervorhebung"/>
        </w:rPr>
      </w:pPr>
      <w:r w:rsidRPr="0083231E">
        <w:rPr>
          <w:rStyle w:val="Hervorhebung"/>
        </w:rPr>
        <w:t>Dämpfe vom erwärmten Material,</w:t>
      </w:r>
      <w:r w:rsidR="00C23894" w:rsidRPr="0083231E">
        <w:rPr>
          <w:rStyle w:val="Hervorhebung"/>
        </w:rPr>
        <w:t xml:space="preserve"> Zersetzungsprodukte</w:t>
      </w:r>
      <w:r w:rsidRPr="0083231E">
        <w:rPr>
          <w:rStyle w:val="Hervorhebung"/>
        </w:rPr>
        <w:t xml:space="preserve"> sowie Staub nicht einatmen.</w:t>
      </w:r>
      <w:r w:rsidR="00652132" w:rsidRPr="0083231E">
        <w:rPr>
          <w:rStyle w:val="Hervorhebung"/>
        </w:rPr>
        <w:t xml:space="preserve"> </w:t>
      </w:r>
    </w:p>
    <w:p w14:paraId="0A9E98AA" w14:textId="77777777" w:rsidR="00652132" w:rsidRPr="0083231E" w:rsidRDefault="00652132" w:rsidP="005F7840">
      <w:pPr>
        <w:pStyle w:val="Untertitel"/>
      </w:pPr>
      <w:r w:rsidRPr="0083231E">
        <w:t>Allgemeine H</w:t>
      </w:r>
      <w:r w:rsidR="00DD5F03" w:rsidRPr="0083231E">
        <w:t>ygienemaßnahmen am Arbeitsplatz</w:t>
      </w:r>
    </w:p>
    <w:p w14:paraId="01535D25" w14:textId="77777777" w:rsidR="00652132" w:rsidRPr="0083231E" w:rsidRDefault="00652132" w:rsidP="005F7840">
      <w:pPr>
        <w:pStyle w:val="berschrift1"/>
        <w:rPr>
          <w:rFonts w:eastAsia="Arial Unicode MS"/>
        </w:rPr>
      </w:pPr>
      <w:r w:rsidRPr="0083231E">
        <w:rPr>
          <w:rFonts w:eastAsia="Arial Unicode MS"/>
        </w:rPr>
        <w:lastRenderedPageBreak/>
        <w:t xml:space="preserve">Die allgemeinen Hygienemaßnahmen im Umgang mit Chemikalien sind zu beachten. </w:t>
      </w:r>
    </w:p>
    <w:p w14:paraId="76290E6F" w14:textId="77777777" w:rsidR="006413A0" w:rsidRPr="0083231E" w:rsidRDefault="006413A0" w:rsidP="005F7840">
      <w:pPr>
        <w:pStyle w:val="Untertitel"/>
      </w:pPr>
      <w:r w:rsidRPr="0083231E">
        <w:t xml:space="preserve">Hinweise </w:t>
      </w:r>
      <w:r w:rsidR="00DD5F03" w:rsidRPr="0083231E">
        <w:t>zum Brand- und Explosionsschutz</w:t>
      </w:r>
    </w:p>
    <w:p w14:paraId="201BA8CC" w14:textId="77777777" w:rsidR="006413A0" w:rsidRPr="0083231E" w:rsidRDefault="006413A0" w:rsidP="005F7840">
      <w:pPr>
        <w:pStyle w:val="berschrift1"/>
        <w:rPr>
          <w:rFonts w:eastAsia="Arial Unicode MS"/>
        </w:rPr>
      </w:pPr>
      <w:r w:rsidRPr="0083231E">
        <w:rPr>
          <w:rFonts w:eastAsia="Arial Unicode MS"/>
        </w:rPr>
        <w:t xml:space="preserve">Das Produkt von Zündquellen fernhalten.  </w:t>
      </w:r>
    </w:p>
    <w:p w14:paraId="60274B7C" w14:textId="77777777" w:rsidR="0054171B" w:rsidRPr="0083231E" w:rsidRDefault="00AE4AC3" w:rsidP="005F7840">
      <w:pPr>
        <w:pStyle w:val="berschrift4"/>
      </w:pPr>
      <w:r w:rsidRPr="0083231E">
        <w:t>Bedingungen zur sicheren Lagerung unter Berücksichtigung von Unverträglichkei</w:t>
      </w:r>
      <w:r w:rsidR="00D22135" w:rsidRPr="0083231E">
        <w:t>t</w:t>
      </w:r>
      <w:r w:rsidR="00425E3B" w:rsidRPr="0083231E">
        <w:t>en</w:t>
      </w:r>
    </w:p>
    <w:p w14:paraId="5E87C8C9" w14:textId="77777777" w:rsidR="001C6B64" w:rsidRPr="0083231E" w:rsidRDefault="00D22135" w:rsidP="005F7840">
      <w:pPr>
        <w:pStyle w:val="berschrift1"/>
      </w:pPr>
      <w:r w:rsidRPr="0083231E">
        <w:t xml:space="preserve">Behälter dicht </w:t>
      </w:r>
      <w:r w:rsidR="00C869F0" w:rsidRPr="0083231E">
        <w:t xml:space="preserve">verschlossen an einem trockenen, gut belüfteten, kühlen </w:t>
      </w:r>
      <w:r w:rsidR="001C6B64" w:rsidRPr="0083231E">
        <w:t>Ort aufbewahren</w:t>
      </w:r>
      <w:r w:rsidR="00C869F0" w:rsidRPr="0083231E">
        <w:t xml:space="preserve">. </w:t>
      </w:r>
    </w:p>
    <w:p w14:paraId="1A2EA0B6" w14:textId="77777777" w:rsidR="000448A7" w:rsidRPr="0083231E" w:rsidRDefault="00C869F0" w:rsidP="005F7840">
      <w:pPr>
        <w:pStyle w:val="berschrift1"/>
      </w:pPr>
      <w:r w:rsidRPr="0083231E">
        <w:t>Substanz vor Lichteinwirkung</w:t>
      </w:r>
      <w:r w:rsidR="00DD5F03" w:rsidRPr="0083231E">
        <w:t xml:space="preserve"> </w:t>
      </w:r>
      <w:r w:rsidR="00652132" w:rsidRPr="0083231E">
        <w:t>/</w:t>
      </w:r>
      <w:r w:rsidR="00DD5F03" w:rsidRPr="0083231E">
        <w:t xml:space="preserve"> </w:t>
      </w:r>
      <w:r w:rsidR="00652132" w:rsidRPr="0083231E">
        <w:t>Wärmeeinwirkung</w:t>
      </w:r>
      <w:r w:rsidR="00DD5F03" w:rsidRPr="0083231E">
        <w:t xml:space="preserve"> </w:t>
      </w:r>
      <w:r w:rsidR="001C6B64" w:rsidRPr="0083231E">
        <w:t>/</w:t>
      </w:r>
      <w:r w:rsidR="00DD5F03" w:rsidRPr="0083231E">
        <w:t xml:space="preserve"> </w:t>
      </w:r>
      <w:r w:rsidR="001C6B64" w:rsidRPr="0083231E">
        <w:t>Zündquellen</w:t>
      </w:r>
      <w:r w:rsidRPr="0083231E">
        <w:t xml:space="preserve"> schützen. </w:t>
      </w:r>
    </w:p>
    <w:p w14:paraId="09D829DB" w14:textId="77777777" w:rsidR="005F7840" w:rsidRPr="0083231E" w:rsidRDefault="005F7840" w:rsidP="005F7840">
      <w:pPr>
        <w:rPr>
          <w:rStyle w:val="Hervorhebung"/>
        </w:rPr>
      </w:pPr>
      <w:r w:rsidRPr="0083231E">
        <w:tab/>
        <w:t xml:space="preserve">Getrennt von starken Basen lagern. </w:t>
      </w:r>
      <w:r w:rsidRPr="0083231E">
        <w:rPr>
          <w:rStyle w:val="Hervorhebung"/>
        </w:rPr>
        <w:t xml:space="preserve"> </w:t>
      </w:r>
    </w:p>
    <w:p w14:paraId="44CA71D4" w14:textId="77777777" w:rsidR="001C6B64" w:rsidRPr="0083231E" w:rsidRDefault="001C6B64" w:rsidP="005F7840">
      <w:pPr>
        <w:pStyle w:val="berschrift1"/>
      </w:pPr>
      <w:r w:rsidRPr="0083231E">
        <w:t xml:space="preserve">Den verschlossenen Behälter vorsichtig öffnen und handhaben. </w:t>
      </w:r>
      <w:r w:rsidRPr="0083231E">
        <w:tab/>
      </w:r>
    </w:p>
    <w:p w14:paraId="257D9F7E" w14:textId="77777777" w:rsidR="0054171B" w:rsidRPr="0083231E" w:rsidRDefault="00FB403E" w:rsidP="005F7840">
      <w:pPr>
        <w:pStyle w:val="berschrift4"/>
      </w:pPr>
      <w:r w:rsidRPr="0083231E">
        <w:t>Spezifische Endanwendungen</w:t>
      </w:r>
    </w:p>
    <w:p w14:paraId="5F5C7791" w14:textId="77777777" w:rsidR="00673AA8" w:rsidRPr="0083231E" w:rsidRDefault="00C869F0" w:rsidP="005F7840">
      <w:pPr>
        <w:pStyle w:val="berschrift1"/>
      </w:pPr>
      <w:r w:rsidRPr="0083231E">
        <w:t>(siehe Abschnitt 1.2)</w:t>
      </w:r>
    </w:p>
    <w:p w14:paraId="7963EADC" w14:textId="77777777" w:rsidR="00B87536" w:rsidRPr="0083231E" w:rsidRDefault="0084209D" w:rsidP="005F7840">
      <w:pPr>
        <w:pStyle w:val="Titel"/>
        <w:rPr>
          <w:b/>
          <w:sz w:val="22"/>
          <w:szCs w:val="22"/>
        </w:rPr>
      </w:pPr>
      <w:r w:rsidRPr="0083231E">
        <w:t>________________________________________________________________________________</w:t>
      </w:r>
      <w:r w:rsidR="00AF2288" w:rsidRPr="0083231E">
        <w:t>_______</w:t>
      </w:r>
    </w:p>
    <w:p w14:paraId="0935FD6D" w14:textId="77777777" w:rsidR="0054171B" w:rsidRPr="0083231E" w:rsidRDefault="00AB18FE" w:rsidP="007F2F79">
      <w:pPr>
        <w:pStyle w:val="berschrift3"/>
      </w:pPr>
      <w:r w:rsidRPr="0083231E">
        <w:t>ABSCHNITT</w:t>
      </w:r>
      <w:r w:rsidR="002F1645" w:rsidRPr="0083231E">
        <w:t xml:space="preserve">: </w:t>
      </w:r>
      <w:r w:rsidR="00A6101E" w:rsidRPr="0083231E">
        <w:t>Begrenzung und Überwachung der Exposition/Persönliche Schutzausrüstung</w:t>
      </w:r>
    </w:p>
    <w:p w14:paraId="7747E9AE" w14:textId="77777777" w:rsidR="007F2F79" w:rsidRPr="0083231E" w:rsidRDefault="007F2F79" w:rsidP="007F2F79">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1CDCA310" w14:textId="77777777" w:rsidR="00587B26" w:rsidRPr="0083231E" w:rsidRDefault="00A6101E" w:rsidP="007F2F79">
      <w:pPr>
        <w:pStyle w:val="berschrift4"/>
      </w:pPr>
      <w:r w:rsidRPr="0083231E">
        <w:t>Zu überwachende Parameter</w:t>
      </w:r>
    </w:p>
    <w:p w14:paraId="57685130" w14:textId="77777777" w:rsidR="00A15464" w:rsidRPr="0083231E" w:rsidRDefault="00A15464" w:rsidP="005F7840">
      <w:pPr>
        <w:pStyle w:val="berschrift1"/>
      </w:pPr>
      <w:r w:rsidRPr="0083231E">
        <w:t>Angaben zu den Expositionsgrenz</w:t>
      </w:r>
      <w:r w:rsidR="002401FB" w:rsidRPr="0083231E">
        <w:t>werten (</w:t>
      </w:r>
      <w:r w:rsidRPr="0083231E">
        <w:t>DNEL/DMEL</w:t>
      </w:r>
      <w:r w:rsidR="002401FB" w:rsidRPr="0083231E">
        <w:t>/</w:t>
      </w:r>
      <w:r w:rsidRPr="0083231E">
        <w:t>PNEC</w:t>
      </w:r>
      <w:r w:rsidR="002401FB" w:rsidRPr="0083231E">
        <w:t>)</w:t>
      </w:r>
      <w:r w:rsidRPr="0083231E">
        <w:t xml:space="preserve"> </w:t>
      </w:r>
      <w:r w:rsidR="00DA54B2" w:rsidRPr="0083231E">
        <w:t>liegen</w:t>
      </w:r>
      <w:r w:rsidRPr="0083231E">
        <w:t xml:space="preserve"> nicht vor. </w:t>
      </w:r>
    </w:p>
    <w:p w14:paraId="57FF7700" w14:textId="77777777" w:rsidR="007F2F79" w:rsidRPr="0083231E" w:rsidRDefault="007F2F79" w:rsidP="007F2F79">
      <w:pPr>
        <w:ind w:left="703" w:firstLine="2"/>
      </w:pPr>
      <w:r w:rsidRPr="0083231E">
        <w:t xml:space="preserve">Im Zusammenhang mit den Komponenten </w:t>
      </w:r>
      <w:proofErr w:type="spellStart"/>
      <w:r w:rsidRPr="0083231E">
        <w:t>Ethylnonafluorbutylether</w:t>
      </w:r>
      <w:proofErr w:type="spellEnd"/>
      <w:r w:rsidRPr="0083231E">
        <w:t xml:space="preserve"> (CAS: 163702-05-4) und </w:t>
      </w:r>
      <w:proofErr w:type="spellStart"/>
      <w:r w:rsidRPr="0083231E">
        <w:t>Ethylnonafluorisobutylether</w:t>
      </w:r>
      <w:proofErr w:type="spellEnd"/>
      <w:r w:rsidRPr="0083231E">
        <w:t xml:space="preserve"> (CAS: 163702-06-4) ist nach Herstellerangaben ein TMW We</w:t>
      </w:r>
      <w:r w:rsidR="00C81971" w:rsidRPr="0083231E">
        <w:t>rt von 200 ppm als Gesamtisomer</w:t>
      </w:r>
      <w:r w:rsidRPr="0083231E">
        <w:t xml:space="preserve"> zu beachten.</w:t>
      </w:r>
    </w:p>
    <w:p w14:paraId="7E852FA9" w14:textId="77777777" w:rsidR="006507F6" w:rsidRPr="0083231E" w:rsidRDefault="00EF234F" w:rsidP="005F7840">
      <w:pPr>
        <w:pStyle w:val="berschrift4"/>
      </w:pPr>
      <w:r w:rsidRPr="0083231E">
        <w:t>Begrenzung und Überwachung der E</w:t>
      </w:r>
      <w:r w:rsidR="00436F35" w:rsidRPr="0083231E">
        <w:t>xposition</w:t>
      </w:r>
    </w:p>
    <w:p w14:paraId="56825F7A" w14:textId="77777777" w:rsidR="0054171B" w:rsidRPr="0083231E" w:rsidRDefault="00AB1C01" w:rsidP="005F7840">
      <w:pPr>
        <w:pStyle w:val="Untertitel"/>
      </w:pPr>
      <w:r w:rsidRPr="0083231E">
        <w:t>Allgemei</w:t>
      </w:r>
      <w:r w:rsidR="006244AC" w:rsidRPr="0083231E">
        <w:t>ne Schutz- und Hygienemaßnahmen</w:t>
      </w:r>
    </w:p>
    <w:p w14:paraId="6295B98A" w14:textId="77777777" w:rsidR="00CC18E1" w:rsidRPr="0083231E" w:rsidRDefault="00CC18E1" w:rsidP="005F7840">
      <w:pPr>
        <w:pStyle w:val="berschrift1"/>
      </w:pPr>
      <w:r w:rsidRPr="0083231E">
        <w:t>Staub und Dämpfe nicht einatmen.</w:t>
      </w:r>
    </w:p>
    <w:p w14:paraId="24FBC464" w14:textId="77777777" w:rsidR="00EC214F" w:rsidRPr="0083231E" w:rsidRDefault="00AB1C01" w:rsidP="005F7840">
      <w:pPr>
        <w:pStyle w:val="berschrift1"/>
      </w:pPr>
      <w:r w:rsidRPr="0083231E">
        <w:t>Die üblichen Vorsichtsmaßnahmen beim Umgang mit Chemikalien sind zu beachten.</w:t>
      </w:r>
      <w:r w:rsidR="00E50535" w:rsidRPr="0083231E">
        <w:t xml:space="preserve"> </w:t>
      </w:r>
    </w:p>
    <w:p w14:paraId="69AA0153" w14:textId="77777777" w:rsidR="00BC2B98" w:rsidRPr="0083231E" w:rsidRDefault="00E50535" w:rsidP="005F7840">
      <w:pPr>
        <w:pStyle w:val="berschrift1"/>
      </w:pPr>
      <w:r w:rsidRPr="0083231E">
        <w:t>Vor den Pausen und bei Arbeitsende Hände waschen. Von Nahrungsmitteln, Getränken</w:t>
      </w:r>
      <w:r w:rsidR="00C81971" w:rsidRPr="0083231E">
        <w:t>,</w:t>
      </w:r>
      <w:r w:rsidRPr="0083231E">
        <w:t xml:space="preserve"> Futtermitteln</w:t>
      </w:r>
      <w:r w:rsidR="00C81971" w:rsidRPr="0083231E">
        <w:t xml:space="preserve"> und Tabakwaren</w:t>
      </w:r>
      <w:r w:rsidRPr="0083231E">
        <w:t xml:space="preserve"> fernhalten. Vor dem Betreten von Bereichen, in denen gegessen wird, kontaminierte Kleidung und Schutzausrüstungen ablegen.</w:t>
      </w:r>
      <w:r w:rsidR="00C81971" w:rsidRPr="0083231E">
        <w:t xml:space="preserve"> Arbeitskleidung getrennt von normaler Kleidung aufbewahren. </w:t>
      </w:r>
    </w:p>
    <w:p w14:paraId="3A01B48E" w14:textId="77777777" w:rsidR="00E50535" w:rsidRPr="0083231E" w:rsidRDefault="00E50535" w:rsidP="005F7840">
      <w:pPr>
        <w:pStyle w:val="Untertitel"/>
      </w:pPr>
      <w:r w:rsidRPr="0083231E">
        <w:t>Geeignete tec</w:t>
      </w:r>
      <w:r w:rsidR="006244AC" w:rsidRPr="0083231E">
        <w:t>hnische Steuerungseinrichtungen</w:t>
      </w:r>
    </w:p>
    <w:p w14:paraId="6E787889" w14:textId="77777777" w:rsidR="00E83590" w:rsidRPr="0083231E" w:rsidRDefault="00E83590" w:rsidP="005F7840">
      <w:pPr>
        <w:pStyle w:val="berschrift1"/>
      </w:pPr>
      <w:r w:rsidRPr="0083231E">
        <w:t xml:space="preserve">Empfohlen wird für eine ausreichende Belüftung unter Verwendung </w:t>
      </w:r>
      <w:r w:rsidR="00235124" w:rsidRPr="0083231E">
        <w:t>einer</w:t>
      </w:r>
      <w:r w:rsidRPr="0083231E">
        <w:t xml:space="preserve"> lokalen Absaugung und eines allgemeinen Abluftsystems zu sorgen. </w:t>
      </w:r>
    </w:p>
    <w:p w14:paraId="1EB50E84" w14:textId="77777777" w:rsidR="00235124" w:rsidRPr="0083231E" w:rsidRDefault="00C81971" w:rsidP="005F7840">
      <w:pPr>
        <w:pStyle w:val="berschrift1"/>
      </w:pPr>
      <w:r w:rsidRPr="0083231E">
        <w:t xml:space="preserve">Im Falle einer starken, extremen Überhitzung des Produkts </w:t>
      </w:r>
      <w:r w:rsidR="00E83590" w:rsidRPr="0083231E">
        <w:t xml:space="preserve">während eines nicht bestimmungsgemäßem Gebrauchs, oder eines Fehlers in den Gerätschaften eine lokale Absaugvorrichtung verwenden. Die lokale Absaugvorrichtung so dimensionieren, dass die Konzentration auftretender Zersetzungsprodukte (siehe Abschnitt 5.2) unterhalb der erlaubten Grenzwerte liegt. Bei offenen Behältern eine lokale Absaugung verwenden. </w:t>
      </w:r>
    </w:p>
    <w:p w14:paraId="22FAA36A" w14:textId="77777777" w:rsidR="00E50535" w:rsidRPr="0083231E" w:rsidRDefault="00235124" w:rsidP="005F7840">
      <w:pPr>
        <w:pStyle w:val="berschrift1"/>
      </w:pPr>
      <w:r w:rsidRPr="0083231E">
        <w:t>Bei einer Überschreitung der Grenzwerte geeignete Schutzausrüstung tragen.</w:t>
      </w:r>
      <w:r w:rsidR="000E5DB8" w:rsidRPr="0083231E">
        <w:t xml:space="preserve">  </w:t>
      </w:r>
      <w:r w:rsidR="00E50535" w:rsidRPr="0083231E">
        <w:t xml:space="preserve"> </w:t>
      </w:r>
    </w:p>
    <w:p w14:paraId="045BDB99" w14:textId="77777777" w:rsidR="007C38A1" w:rsidRPr="0083231E" w:rsidRDefault="007C38A1">
      <w:pPr>
        <w:spacing w:after="0"/>
        <w:rPr>
          <w:b/>
          <w:bCs/>
          <w:sz w:val="22"/>
          <w:szCs w:val="22"/>
        </w:rPr>
      </w:pPr>
      <w:r w:rsidRPr="0083231E">
        <w:br w:type="page"/>
      </w:r>
    </w:p>
    <w:p w14:paraId="53043800" w14:textId="77777777" w:rsidR="00102556" w:rsidRPr="0083231E" w:rsidRDefault="00AB1C01" w:rsidP="005F7840">
      <w:pPr>
        <w:pStyle w:val="Untertitel"/>
      </w:pPr>
      <w:r w:rsidRPr="0083231E">
        <w:lastRenderedPageBreak/>
        <w:t>P</w:t>
      </w:r>
      <w:r w:rsidR="00102556" w:rsidRPr="0083231E">
        <w:t>ersönliche Schutzausrüstung</w:t>
      </w:r>
      <w:r w:rsidR="002F40F3" w:rsidRPr="0083231E">
        <w:t>en</w:t>
      </w:r>
    </w:p>
    <w:p w14:paraId="63E53369" w14:textId="77777777" w:rsidR="0054171B" w:rsidRPr="0083231E" w:rsidRDefault="00102556" w:rsidP="00235124">
      <w:pPr>
        <w:pStyle w:val="Untertitel"/>
        <w:ind w:left="1418" w:firstLine="0"/>
        <w:rPr>
          <w:rStyle w:val="SchwacheHervorhebung"/>
          <w:b w:val="0"/>
        </w:rPr>
      </w:pPr>
      <w:r w:rsidRPr="0083231E">
        <w:rPr>
          <w:rStyle w:val="SchwacheHervorhebung"/>
          <w:b w:val="0"/>
        </w:rPr>
        <w:t>Augen-/Gesichtsschutz:</w:t>
      </w:r>
    </w:p>
    <w:p w14:paraId="6AF2340F" w14:textId="77777777" w:rsidR="008B06C6" w:rsidRPr="0083231E" w:rsidRDefault="00235124" w:rsidP="00235124">
      <w:pPr>
        <w:pStyle w:val="berschrift1"/>
        <w:ind w:left="1418"/>
        <w:rPr>
          <w:rStyle w:val="Hervorhebung"/>
        </w:rPr>
      </w:pPr>
      <w:r w:rsidRPr="0083231E">
        <w:rPr>
          <w:rStyle w:val="Hervorhebung"/>
        </w:rPr>
        <w:t>Das Tragen von einem Gesichtsschutz bzw. von d</w:t>
      </w:r>
      <w:r w:rsidR="000E5DB8" w:rsidRPr="0083231E">
        <w:rPr>
          <w:rStyle w:val="Hervorhebung"/>
        </w:rPr>
        <w:t xml:space="preserve">ichtschließenden </w:t>
      </w:r>
      <w:r w:rsidR="00DC787A" w:rsidRPr="0083231E">
        <w:rPr>
          <w:rStyle w:val="Hervorhebung"/>
        </w:rPr>
        <w:t>Schutzbrillen</w:t>
      </w:r>
      <w:r w:rsidR="000E5DB8" w:rsidRPr="0083231E">
        <w:rPr>
          <w:rStyle w:val="Hervorhebung"/>
        </w:rPr>
        <w:t xml:space="preserve"> mit Seitenschildern</w:t>
      </w:r>
      <w:r w:rsidR="00DC787A" w:rsidRPr="0083231E">
        <w:rPr>
          <w:rStyle w:val="Hervorhebung"/>
        </w:rPr>
        <w:t xml:space="preserve"> unter Einhaltung der NIOSH bzw. EN Standards</w:t>
      </w:r>
      <w:r w:rsidR="000E5DB8" w:rsidRPr="0083231E">
        <w:rPr>
          <w:rStyle w:val="Hervorhebung"/>
        </w:rPr>
        <w:t xml:space="preserve"> </w:t>
      </w:r>
      <w:r w:rsidRPr="0083231E">
        <w:rPr>
          <w:rStyle w:val="Hervorhebung"/>
        </w:rPr>
        <w:t xml:space="preserve">wird </w:t>
      </w:r>
      <w:r w:rsidR="000E5DB8" w:rsidRPr="0083231E">
        <w:rPr>
          <w:rStyle w:val="Hervorhebung"/>
        </w:rPr>
        <w:t>empfohlen</w:t>
      </w:r>
      <w:r w:rsidR="00DC787A" w:rsidRPr="0083231E">
        <w:rPr>
          <w:rStyle w:val="Hervorhebung"/>
        </w:rPr>
        <w:t>.</w:t>
      </w:r>
    </w:p>
    <w:p w14:paraId="68C41962" w14:textId="77777777" w:rsidR="000F696B" w:rsidRPr="0083231E" w:rsidRDefault="00235124" w:rsidP="00235124">
      <w:pPr>
        <w:ind w:left="1418"/>
        <w:rPr>
          <w:rStyle w:val="SchwacheHervorhebung"/>
        </w:rPr>
      </w:pPr>
      <w:r w:rsidRPr="0083231E">
        <w:rPr>
          <w:rStyle w:val="SchwacheHervorhebung"/>
        </w:rPr>
        <w:t>Handschutz</w:t>
      </w:r>
      <w:r w:rsidR="00102556" w:rsidRPr="0083231E">
        <w:rPr>
          <w:rStyle w:val="SchwacheHervorhebung"/>
        </w:rPr>
        <w:t>:</w:t>
      </w:r>
      <w:r w:rsidR="00DC787A" w:rsidRPr="0083231E">
        <w:rPr>
          <w:rStyle w:val="SchwacheHervorhebung"/>
        </w:rPr>
        <w:t xml:space="preserve"> </w:t>
      </w:r>
    </w:p>
    <w:p w14:paraId="460EC135" w14:textId="77777777" w:rsidR="000F696B" w:rsidRPr="0083231E" w:rsidRDefault="00B66C63" w:rsidP="00235124">
      <w:pPr>
        <w:pStyle w:val="berschrift1"/>
        <w:ind w:left="1418"/>
        <w:rPr>
          <w:rStyle w:val="Hervorhebung"/>
        </w:rPr>
      </w:pPr>
      <w:r w:rsidRPr="0083231E">
        <w:rPr>
          <w:rStyle w:val="Hervorhebung"/>
        </w:rPr>
        <w:t xml:space="preserve">Mit </w:t>
      </w:r>
      <w:r w:rsidR="009C65A6" w:rsidRPr="0083231E">
        <w:rPr>
          <w:rStyle w:val="Hervorhebung"/>
        </w:rPr>
        <w:t>chemikalienbeständigen Schutzhandschuhen</w:t>
      </w:r>
      <w:r w:rsidRPr="0083231E">
        <w:rPr>
          <w:rStyle w:val="Hervorhebung"/>
        </w:rPr>
        <w:t xml:space="preserve"> arbeiten. Handschuhe müssen vor Gebrauch untersucht werden. Benutzen Sie eine geeignete Ausziehmethode (ohne die </w:t>
      </w:r>
      <w:r w:rsidR="0032333E" w:rsidRPr="0083231E">
        <w:rPr>
          <w:rStyle w:val="Hervorhebung"/>
        </w:rPr>
        <w:t>äußere</w:t>
      </w:r>
      <w:r w:rsidRPr="0083231E">
        <w:rPr>
          <w:rStyle w:val="Hervorhebung"/>
        </w:rPr>
        <w:t xml:space="preserve"> Handschuhoberfläche zu berühren), um Hautkontakt mit diesem Produkt zu vermeiden. Entsorgung der kontaminierten Handschuhe nach Benutzung im Rahmen gesetzlicher Bestimmungen und der guten Laborpraxis. Waschen und Trocknen der Hände. </w:t>
      </w:r>
    </w:p>
    <w:p w14:paraId="3F16EAB7" w14:textId="77777777" w:rsidR="00235124" w:rsidRPr="0083231E" w:rsidRDefault="00235124" w:rsidP="00235124">
      <w:pPr>
        <w:ind w:left="1418"/>
        <w:rPr>
          <w:rFonts w:eastAsia="Arial Unicode MS"/>
        </w:rPr>
      </w:pPr>
      <w:r w:rsidRPr="0083231E">
        <w:rPr>
          <w:rFonts w:eastAsia="Arial Unicode MS"/>
        </w:rPr>
        <w:t>Um Verbrennungen zu vermeiden beim Umgang mit erwärmten Material wärmeisolierte Handschuhe verwenden.</w:t>
      </w:r>
    </w:p>
    <w:p w14:paraId="6D374DDD" w14:textId="77777777" w:rsidR="0054171B" w:rsidRPr="0083231E" w:rsidRDefault="000F696B" w:rsidP="00235124">
      <w:pPr>
        <w:pStyle w:val="berschrift1"/>
        <w:ind w:left="1418"/>
        <w:rPr>
          <w:rStyle w:val="Hervorhebung"/>
        </w:rPr>
      </w:pPr>
      <w:r w:rsidRPr="0083231E">
        <w:rPr>
          <w:rStyle w:val="Hervorhebung"/>
        </w:rPr>
        <w:t xml:space="preserve">Die Auswahl eines geeigneten </w:t>
      </w:r>
      <w:r w:rsidR="0032333E" w:rsidRPr="0083231E">
        <w:rPr>
          <w:rStyle w:val="Hervorhebung"/>
        </w:rPr>
        <w:t>Handschuhs</w:t>
      </w:r>
      <w:r w:rsidRPr="0083231E">
        <w:rPr>
          <w:rStyle w:val="Hervorhebung"/>
        </w:rPr>
        <w:t xml:space="preserve"> ist ni</w:t>
      </w:r>
      <w:r w:rsidR="00F96D05" w:rsidRPr="0083231E">
        <w:rPr>
          <w:rStyle w:val="Hervorhebung"/>
        </w:rPr>
        <w:t>cht nur vom Material, sondern a</w:t>
      </w:r>
      <w:r w:rsidRPr="0083231E">
        <w:rPr>
          <w:rStyle w:val="Hervorhebung"/>
        </w:rPr>
        <w:t>u</w:t>
      </w:r>
      <w:r w:rsidR="00F96D05" w:rsidRPr="0083231E">
        <w:rPr>
          <w:rStyle w:val="Hervorhebung"/>
        </w:rPr>
        <w:t>c</w:t>
      </w:r>
      <w:r w:rsidRPr="0083231E">
        <w:rPr>
          <w:rStyle w:val="Hervorhebung"/>
        </w:rPr>
        <w:t>h von weiteren Qualitätsmerkmalen abhängig und von Hersteller zu Hersteller unterschiedlich.</w:t>
      </w:r>
      <w:r w:rsidR="00F96D05" w:rsidRPr="0083231E">
        <w:rPr>
          <w:rStyle w:val="Hervorhebung"/>
        </w:rPr>
        <w:t xml:space="preserve"> Die genaue Durchbruchzeit ist beim Schutzhandschuhhersteller zu erfahren und einzuhalten. </w:t>
      </w:r>
    </w:p>
    <w:p w14:paraId="7DB2F9E3" w14:textId="77777777" w:rsidR="00E3207E" w:rsidRPr="0083231E" w:rsidRDefault="000F696B" w:rsidP="00235124">
      <w:pPr>
        <w:pStyle w:val="berschrift1"/>
        <w:ind w:left="1418"/>
      </w:pPr>
      <w:r w:rsidRPr="0083231E">
        <w:t xml:space="preserve">Die einzusetzenden Schutzhandschuhe müssen den Spezifikationen der EG-Richtlinie 89/686/EWG und der sich daraus ergebenden Norm EN 374 </w:t>
      </w:r>
      <w:r w:rsidR="009C65A6" w:rsidRPr="0083231E">
        <w:t xml:space="preserve">bzw. EN 407 </w:t>
      </w:r>
      <w:r w:rsidRPr="0083231E">
        <w:t>genügen.</w:t>
      </w:r>
    </w:p>
    <w:p w14:paraId="56297B2A" w14:textId="77777777" w:rsidR="00F96D05" w:rsidRPr="0083231E" w:rsidRDefault="00F96D05" w:rsidP="00235124">
      <w:pPr>
        <w:ind w:left="1418"/>
      </w:pPr>
      <w:r w:rsidRPr="0083231E">
        <w:rPr>
          <w:rStyle w:val="SchwacheHervorhebung"/>
        </w:rPr>
        <w:t>Körperschutz:</w:t>
      </w:r>
    </w:p>
    <w:p w14:paraId="1066E449" w14:textId="77777777" w:rsidR="0031422A" w:rsidRPr="0083231E" w:rsidRDefault="00A87A98" w:rsidP="00235124">
      <w:pPr>
        <w:pStyle w:val="berschrift1"/>
        <w:ind w:left="1418"/>
        <w:rPr>
          <w:rStyle w:val="SchwacheHervorhebung"/>
          <w:sz w:val="20"/>
          <w:szCs w:val="20"/>
          <w:u w:val="none"/>
        </w:rPr>
      </w:pPr>
      <w:r w:rsidRPr="0083231E">
        <w:t>Körperschutz gemäß der Konzentration und Menge des einzusetzenden</w:t>
      </w:r>
      <w:r w:rsidR="00F96D05" w:rsidRPr="0083231E">
        <w:t xml:space="preserve"> gefährlichen Stoffe</w:t>
      </w:r>
      <w:r w:rsidRPr="0083231E">
        <w:t xml:space="preserve">s unter Einhaltung der </w:t>
      </w:r>
      <w:r w:rsidR="00F13B34" w:rsidRPr="0083231E">
        <w:t>Arbeitsplatz</w:t>
      </w:r>
      <w:r w:rsidRPr="0083231E">
        <w:t>vorschriften</w:t>
      </w:r>
      <w:r w:rsidR="00F13B34" w:rsidRPr="0083231E">
        <w:t xml:space="preserve"> auswählen. </w:t>
      </w:r>
    </w:p>
    <w:p w14:paraId="565078D2" w14:textId="77777777" w:rsidR="00102556" w:rsidRPr="0083231E" w:rsidRDefault="00102556" w:rsidP="00235124">
      <w:pPr>
        <w:ind w:left="1418"/>
        <w:rPr>
          <w:rStyle w:val="SchwacheHervorhebung"/>
        </w:rPr>
      </w:pPr>
      <w:r w:rsidRPr="0083231E">
        <w:rPr>
          <w:rStyle w:val="SchwacheHervorhebung"/>
        </w:rPr>
        <w:t>Atemschutz:</w:t>
      </w:r>
    </w:p>
    <w:p w14:paraId="6837E1E2" w14:textId="77777777" w:rsidR="00090F29" w:rsidRPr="0083231E" w:rsidRDefault="00090F29" w:rsidP="00235124">
      <w:pPr>
        <w:pStyle w:val="berschrift1"/>
        <w:ind w:left="1418"/>
      </w:pPr>
      <w:r w:rsidRPr="0083231E">
        <w:t xml:space="preserve">Im Falle </w:t>
      </w:r>
      <w:r w:rsidR="00CC18E1" w:rsidRPr="0083231E">
        <w:t xml:space="preserve">von </w:t>
      </w:r>
      <w:r w:rsidR="00235124" w:rsidRPr="0083231E">
        <w:t>unzureichender Belüftung Atemschutz tragen.</w:t>
      </w:r>
    </w:p>
    <w:p w14:paraId="42E193E3" w14:textId="77777777" w:rsidR="00F96D05" w:rsidRPr="0083231E" w:rsidRDefault="00F2066A" w:rsidP="00235124">
      <w:pPr>
        <w:pStyle w:val="berschrift1"/>
        <w:ind w:left="1418"/>
      </w:pPr>
      <w:r w:rsidRPr="0083231E">
        <w:t>Atemschutzgeräte</w:t>
      </w:r>
      <w:r w:rsidR="00090F29" w:rsidRPr="0083231E">
        <w:t xml:space="preserve"> müssen nach entsprechenden staatlichen Standards wie NIO</w:t>
      </w:r>
      <w:r w:rsidR="00761720" w:rsidRPr="0083231E">
        <w:t>SH</w:t>
      </w:r>
      <w:r w:rsidR="00090F29" w:rsidRPr="0083231E">
        <w:t xml:space="preserve"> od. CEN geprüft und zugelassen sein.  </w:t>
      </w:r>
    </w:p>
    <w:p w14:paraId="62F33DCF" w14:textId="77777777" w:rsidR="004D2D85" w:rsidRPr="0083231E" w:rsidRDefault="004D2D85" w:rsidP="00235124">
      <w:pPr>
        <w:ind w:left="1418"/>
        <w:rPr>
          <w:rStyle w:val="SchwacheHervorhebung"/>
        </w:rPr>
      </w:pPr>
      <w:r w:rsidRPr="0083231E">
        <w:rPr>
          <w:rStyle w:val="SchwacheHervorhebung"/>
        </w:rPr>
        <w:t>Zusatzinformation:</w:t>
      </w:r>
    </w:p>
    <w:p w14:paraId="28971FF1" w14:textId="77777777" w:rsidR="004D2D85" w:rsidRPr="0083231E" w:rsidRDefault="004D2D85" w:rsidP="00235124">
      <w:pPr>
        <w:pStyle w:val="berschrift1"/>
        <w:ind w:left="1418"/>
      </w:pPr>
      <w:r w:rsidRPr="0083231E">
        <w:t xml:space="preserve">Keine Tests wurden durchgeführt. Die Auswahl </w:t>
      </w:r>
      <w:r w:rsidR="00F36685" w:rsidRPr="0083231E">
        <w:t>an</w:t>
      </w:r>
      <w:r w:rsidRPr="0083231E">
        <w:t xml:space="preserve"> Augen-/Gesichtsschutz, Hautschutz, Körperschutz, Atemschutz wurde für dieses Produkt</w:t>
      </w:r>
      <w:r w:rsidR="00F36685" w:rsidRPr="0083231E">
        <w:t xml:space="preserve"> b</w:t>
      </w:r>
      <w:r w:rsidRPr="0083231E">
        <w:t>z</w:t>
      </w:r>
      <w:r w:rsidR="00F36685" w:rsidRPr="0083231E">
        <w:t>w</w:t>
      </w:r>
      <w:r w:rsidRPr="0083231E">
        <w:t xml:space="preserve">. Gemisch nach bestem Wissen und über die Informationen der Inhaltsstoffe getroffen. </w:t>
      </w:r>
    </w:p>
    <w:p w14:paraId="48B1300D" w14:textId="77777777" w:rsidR="00F96D05" w:rsidRPr="0083231E" w:rsidRDefault="00F96D05" w:rsidP="005F7840">
      <w:pPr>
        <w:pStyle w:val="Untertitel"/>
      </w:pPr>
      <w:r w:rsidRPr="0083231E">
        <w:t>Überwachung der Umweltexposition</w:t>
      </w:r>
    </w:p>
    <w:p w14:paraId="508D31D9" w14:textId="77777777" w:rsidR="00F36685" w:rsidRPr="0083231E" w:rsidRDefault="00F36685" w:rsidP="00721FEF">
      <w:pPr>
        <w:pStyle w:val="Titel"/>
        <w:ind w:left="703"/>
      </w:pPr>
      <w:r w:rsidRPr="0083231E">
        <w:t>Nicht in die Kanalisation gelangen lassen. Eindringen in das Oberflächen- sowie Grundwasser als auch in den Boden vermeiden.</w:t>
      </w:r>
    </w:p>
    <w:p w14:paraId="53BE247A" w14:textId="77777777" w:rsidR="00AC1949" w:rsidRPr="0083231E" w:rsidRDefault="00AC1949" w:rsidP="005F7840">
      <w:pPr>
        <w:pStyle w:val="Titel"/>
      </w:pPr>
      <w:r w:rsidRPr="0083231E">
        <w:t>_______________________________________________________________________________________</w:t>
      </w:r>
    </w:p>
    <w:p w14:paraId="408A4392" w14:textId="77777777" w:rsidR="009700AB" w:rsidRPr="0083231E" w:rsidRDefault="003320A5" w:rsidP="00721FEF">
      <w:pPr>
        <w:pStyle w:val="berschrift3"/>
      </w:pPr>
      <w:r w:rsidRPr="0083231E">
        <w:t>ABSCHNITT: Physikalische und chemische Eigenschaften</w:t>
      </w:r>
    </w:p>
    <w:p w14:paraId="134F1D6C" w14:textId="77777777" w:rsidR="00721FEF" w:rsidRPr="0083231E" w:rsidRDefault="00721FEF" w:rsidP="00721FEF">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5D28627E" w14:textId="77777777" w:rsidR="00B17AA6" w:rsidRPr="0083231E" w:rsidRDefault="003320A5" w:rsidP="00721FEF">
      <w:pPr>
        <w:pStyle w:val="berschrift4"/>
      </w:pPr>
      <w:r w:rsidRPr="0083231E">
        <w:t>Angaben zu den grundlegenden physikalischen und chemischen Eigenschaften</w:t>
      </w:r>
    </w:p>
    <w:p w14:paraId="715766B2" w14:textId="77777777" w:rsidR="00B17AA6" w:rsidRPr="0083231E" w:rsidRDefault="00B17AA6" w:rsidP="005F7840">
      <w:pPr>
        <w:pStyle w:val="Untertitel"/>
      </w:pPr>
      <w:r w:rsidRPr="0083231E">
        <w:t>Allgemeine Angaben</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6033"/>
      </w:tblGrid>
      <w:tr w:rsidR="00B17AA6" w:rsidRPr="0083231E" w14:paraId="2428BDA4" w14:textId="77777777" w:rsidTr="00A22BF0">
        <w:tc>
          <w:tcPr>
            <w:tcW w:w="2929" w:type="dxa"/>
          </w:tcPr>
          <w:p w14:paraId="410B9C39" w14:textId="77777777" w:rsidR="00B17AA6" w:rsidRPr="0083231E" w:rsidRDefault="00A22BF0" w:rsidP="005F7840">
            <w:pPr>
              <w:pStyle w:val="KeinLeerraum"/>
            </w:pPr>
            <w:r w:rsidRPr="0083231E">
              <w:t>Aggregatzustand:</w:t>
            </w:r>
          </w:p>
        </w:tc>
        <w:tc>
          <w:tcPr>
            <w:tcW w:w="7178" w:type="dxa"/>
          </w:tcPr>
          <w:p w14:paraId="7574FD5D" w14:textId="77777777" w:rsidR="00B17AA6" w:rsidRPr="0083231E" w:rsidRDefault="006244AC" w:rsidP="005F7840">
            <w:pPr>
              <w:pStyle w:val="KeinLeerraum"/>
            </w:pPr>
            <w:r w:rsidRPr="0083231E">
              <w:t>F</w:t>
            </w:r>
            <w:r w:rsidR="00721FEF" w:rsidRPr="0083231E">
              <w:t>est – flüssig (Suspension)</w:t>
            </w:r>
            <w:r w:rsidRPr="0083231E">
              <w:t>.</w:t>
            </w:r>
          </w:p>
        </w:tc>
      </w:tr>
      <w:tr w:rsidR="00B17AA6" w:rsidRPr="0083231E" w14:paraId="51C49A50" w14:textId="77777777" w:rsidTr="00A22BF0">
        <w:tc>
          <w:tcPr>
            <w:tcW w:w="2929" w:type="dxa"/>
          </w:tcPr>
          <w:p w14:paraId="4A0002EF" w14:textId="77777777" w:rsidR="00B17AA6" w:rsidRPr="0083231E" w:rsidRDefault="00B17AA6" w:rsidP="005F7840">
            <w:pPr>
              <w:pStyle w:val="KeinLeerraum"/>
            </w:pPr>
            <w:r w:rsidRPr="0083231E">
              <w:t>Farbe:</w:t>
            </w:r>
          </w:p>
        </w:tc>
        <w:tc>
          <w:tcPr>
            <w:tcW w:w="7178" w:type="dxa"/>
          </w:tcPr>
          <w:p w14:paraId="7D7D7A2A" w14:textId="77777777" w:rsidR="00B17AA6" w:rsidRPr="0083231E" w:rsidRDefault="006244AC" w:rsidP="005F7840">
            <w:pPr>
              <w:pStyle w:val="KeinLeerraum"/>
            </w:pPr>
            <w:r w:rsidRPr="0083231E">
              <w:t>Farblos mit weißen Schwebstoffen.</w:t>
            </w:r>
          </w:p>
        </w:tc>
      </w:tr>
      <w:tr w:rsidR="00B17AA6" w:rsidRPr="0083231E" w14:paraId="3E0BC048" w14:textId="77777777" w:rsidTr="00A22BF0">
        <w:tc>
          <w:tcPr>
            <w:tcW w:w="2929" w:type="dxa"/>
          </w:tcPr>
          <w:p w14:paraId="7E60CF0B" w14:textId="77777777" w:rsidR="00B17AA6" w:rsidRPr="0083231E" w:rsidRDefault="00B17AA6" w:rsidP="005F7840">
            <w:pPr>
              <w:pStyle w:val="KeinLeerraum"/>
            </w:pPr>
            <w:r w:rsidRPr="0083231E">
              <w:lastRenderedPageBreak/>
              <w:t>Geruch:</w:t>
            </w:r>
          </w:p>
        </w:tc>
        <w:tc>
          <w:tcPr>
            <w:tcW w:w="7178" w:type="dxa"/>
          </w:tcPr>
          <w:p w14:paraId="62F3CCFC" w14:textId="77777777" w:rsidR="00B17AA6" w:rsidRPr="0083231E" w:rsidRDefault="006244AC" w:rsidP="005F7840">
            <w:pPr>
              <w:pStyle w:val="KeinLeerraum"/>
            </w:pPr>
            <w:r w:rsidRPr="0083231E">
              <w:t>S</w:t>
            </w:r>
            <w:r w:rsidR="00A22BF0" w:rsidRPr="0083231E">
              <w:t>chwach, spezifisch</w:t>
            </w:r>
            <w:r w:rsidRPr="0083231E">
              <w:t>.</w:t>
            </w:r>
          </w:p>
        </w:tc>
      </w:tr>
      <w:tr w:rsidR="00E840B6" w:rsidRPr="0083231E" w14:paraId="55430530" w14:textId="77777777" w:rsidTr="00A22BF0">
        <w:tc>
          <w:tcPr>
            <w:tcW w:w="2929" w:type="dxa"/>
          </w:tcPr>
          <w:p w14:paraId="63DC50BD" w14:textId="77777777" w:rsidR="00E840B6" w:rsidRPr="0083231E" w:rsidRDefault="00E840B6" w:rsidP="005F7840">
            <w:pPr>
              <w:pStyle w:val="KeinLeerraum"/>
            </w:pPr>
            <w:r w:rsidRPr="0083231E">
              <w:t>Geruchsschwelle:</w:t>
            </w:r>
          </w:p>
        </w:tc>
        <w:tc>
          <w:tcPr>
            <w:tcW w:w="7178" w:type="dxa"/>
          </w:tcPr>
          <w:p w14:paraId="1612408C" w14:textId="77777777" w:rsidR="00E840B6" w:rsidRPr="0083231E" w:rsidRDefault="00402C62" w:rsidP="005F7840">
            <w:pPr>
              <w:pStyle w:val="KeinLeerraum"/>
            </w:pPr>
            <w:r w:rsidRPr="0083231E">
              <w:t>K</w:t>
            </w:r>
            <w:r w:rsidR="00E840B6" w:rsidRPr="0083231E">
              <w:t>eine Daten verfügbar</w:t>
            </w:r>
            <w:r w:rsidRPr="0083231E">
              <w:t>.</w:t>
            </w:r>
          </w:p>
        </w:tc>
      </w:tr>
      <w:tr w:rsidR="00B17AA6" w:rsidRPr="0083231E" w14:paraId="317CA120" w14:textId="77777777" w:rsidTr="00A22BF0">
        <w:tc>
          <w:tcPr>
            <w:tcW w:w="2929" w:type="dxa"/>
          </w:tcPr>
          <w:p w14:paraId="072AE379" w14:textId="77777777" w:rsidR="00B17AA6" w:rsidRPr="0083231E" w:rsidRDefault="00B17AA6" w:rsidP="005F7840">
            <w:pPr>
              <w:pStyle w:val="KeinLeerraum"/>
            </w:pPr>
            <w:r w:rsidRPr="0083231E">
              <w:t>Schmelzpunkt/Gefrierpunkt:</w:t>
            </w:r>
          </w:p>
        </w:tc>
        <w:tc>
          <w:tcPr>
            <w:tcW w:w="7178" w:type="dxa"/>
          </w:tcPr>
          <w:p w14:paraId="1365550D" w14:textId="77777777" w:rsidR="00B17AA6" w:rsidRPr="0083231E" w:rsidRDefault="000863A7" w:rsidP="005F7840">
            <w:pPr>
              <w:pStyle w:val="KeinLeerraum"/>
            </w:pPr>
            <w:r w:rsidRPr="0083231E">
              <w:t>Keine Daten verfügbar.</w:t>
            </w:r>
          </w:p>
        </w:tc>
      </w:tr>
      <w:tr w:rsidR="00B17AA6" w:rsidRPr="0083231E" w14:paraId="5F691DC0" w14:textId="77777777" w:rsidTr="00A22BF0">
        <w:tc>
          <w:tcPr>
            <w:tcW w:w="2929" w:type="dxa"/>
          </w:tcPr>
          <w:p w14:paraId="153E1475" w14:textId="77777777" w:rsidR="00B17AA6" w:rsidRPr="0083231E" w:rsidRDefault="00E350FA" w:rsidP="005F7840">
            <w:pPr>
              <w:pStyle w:val="KeinLeerraum"/>
            </w:pPr>
            <w:r w:rsidRPr="0083231E">
              <w:t>Siedepunkt/Siedebereich:</w:t>
            </w:r>
          </w:p>
        </w:tc>
        <w:tc>
          <w:tcPr>
            <w:tcW w:w="7178" w:type="dxa"/>
          </w:tcPr>
          <w:p w14:paraId="09A37917" w14:textId="77777777" w:rsidR="00B17AA6" w:rsidRPr="0083231E" w:rsidRDefault="00402C62" w:rsidP="005F7840">
            <w:pPr>
              <w:pStyle w:val="KeinLeerraum"/>
            </w:pPr>
            <w:r w:rsidRPr="0083231E">
              <w:t>K</w:t>
            </w:r>
            <w:r w:rsidR="001A755E" w:rsidRPr="0083231E">
              <w:t>eine Daten verfügbar</w:t>
            </w:r>
            <w:r w:rsidRPr="0083231E">
              <w:t>.</w:t>
            </w:r>
          </w:p>
        </w:tc>
      </w:tr>
      <w:tr w:rsidR="00B17AA6" w:rsidRPr="0083231E" w14:paraId="6A6061AA" w14:textId="77777777" w:rsidTr="00A22BF0">
        <w:tc>
          <w:tcPr>
            <w:tcW w:w="2929" w:type="dxa"/>
          </w:tcPr>
          <w:p w14:paraId="5EA74A01" w14:textId="77777777" w:rsidR="00B17AA6" w:rsidRPr="0083231E" w:rsidRDefault="0032333E" w:rsidP="005F7840">
            <w:pPr>
              <w:pStyle w:val="KeinLeerraum"/>
            </w:pPr>
            <w:r w:rsidRPr="0083231E">
              <w:t>Erstarrungstemperatur</w:t>
            </w:r>
            <w:r w:rsidR="00E350FA" w:rsidRPr="0083231E">
              <w:t>/-bereich:</w:t>
            </w:r>
          </w:p>
        </w:tc>
        <w:tc>
          <w:tcPr>
            <w:tcW w:w="7178" w:type="dxa"/>
          </w:tcPr>
          <w:p w14:paraId="52CF00D9" w14:textId="77777777" w:rsidR="00B17AA6" w:rsidRPr="0083231E" w:rsidRDefault="00402C62" w:rsidP="005F7840">
            <w:pPr>
              <w:pStyle w:val="KeinLeerraum"/>
            </w:pPr>
            <w:r w:rsidRPr="0083231E">
              <w:t>K</w:t>
            </w:r>
            <w:r w:rsidR="001A755E" w:rsidRPr="0083231E">
              <w:t>eine Daten verfügbar</w:t>
            </w:r>
            <w:r w:rsidRPr="0083231E">
              <w:t>.</w:t>
            </w:r>
          </w:p>
        </w:tc>
      </w:tr>
      <w:tr w:rsidR="00B17AA6" w:rsidRPr="0083231E" w14:paraId="4FB5FD12" w14:textId="77777777" w:rsidTr="00A22BF0">
        <w:tc>
          <w:tcPr>
            <w:tcW w:w="2929" w:type="dxa"/>
          </w:tcPr>
          <w:p w14:paraId="0E8FB8FD" w14:textId="77777777" w:rsidR="00B17AA6" w:rsidRPr="0083231E" w:rsidRDefault="00E350FA" w:rsidP="005F7840">
            <w:pPr>
              <w:pStyle w:val="KeinLeerraum"/>
            </w:pPr>
            <w:r w:rsidRPr="0083231E">
              <w:t>Flammpunkt:</w:t>
            </w:r>
          </w:p>
        </w:tc>
        <w:tc>
          <w:tcPr>
            <w:tcW w:w="7178" w:type="dxa"/>
          </w:tcPr>
          <w:p w14:paraId="3AB8698C" w14:textId="77777777" w:rsidR="00B17AA6" w:rsidRPr="0083231E" w:rsidRDefault="00A65088" w:rsidP="005F7840">
            <w:pPr>
              <w:pStyle w:val="KeinLeerraum"/>
            </w:pPr>
            <w:r w:rsidRPr="0083231E">
              <w:t>Nicht anwendbar.</w:t>
            </w:r>
          </w:p>
        </w:tc>
      </w:tr>
      <w:tr w:rsidR="00B17AA6" w:rsidRPr="0083231E" w14:paraId="56C20D38" w14:textId="77777777" w:rsidTr="00A22BF0">
        <w:tc>
          <w:tcPr>
            <w:tcW w:w="2929" w:type="dxa"/>
          </w:tcPr>
          <w:p w14:paraId="13BA73E2" w14:textId="77777777" w:rsidR="00B17AA6" w:rsidRPr="0083231E" w:rsidRDefault="00E350FA" w:rsidP="005F7840">
            <w:pPr>
              <w:pStyle w:val="KeinLeerraum"/>
            </w:pPr>
            <w:r w:rsidRPr="0083231E">
              <w:t>Verdampfungsgeschwindigkeit</w:t>
            </w:r>
            <w:r w:rsidR="00A22BF0" w:rsidRPr="0083231E">
              <w:t>:</w:t>
            </w:r>
          </w:p>
        </w:tc>
        <w:tc>
          <w:tcPr>
            <w:tcW w:w="7178" w:type="dxa"/>
          </w:tcPr>
          <w:p w14:paraId="72FC5E7E" w14:textId="77777777" w:rsidR="00B17AA6" w:rsidRPr="0083231E" w:rsidRDefault="00A65088" w:rsidP="005F7840">
            <w:pPr>
              <w:pStyle w:val="KeinLeerraum"/>
            </w:pPr>
            <w:r w:rsidRPr="0083231E">
              <w:t>Nicht anwendbar.</w:t>
            </w:r>
          </w:p>
        </w:tc>
      </w:tr>
      <w:tr w:rsidR="00B17AA6" w:rsidRPr="0083231E" w14:paraId="3E650B91" w14:textId="77777777" w:rsidTr="00A22BF0">
        <w:tc>
          <w:tcPr>
            <w:tcW w:w="2929" w:type="dxa"/>
          </w:tcPr>
          <w:p w14:paraId="6D820A83" w14:textId="77777777" w:rsidR="00B17AA6" w:rsidRPr="0083231E" w:rsidRDefault="00E350FA" w:rsidP="005F7840">
            <w:pPr>
              <w:pStyle w:val="KeinLeerraum"/>
            </w:pPr>
            <w:r w:rsidRPr="0083231E">
              <w:t>Entzündlichkeit  (fest, gasförmig)</w:t>
            </w:r>
            <w:r w:rsidR="00A22BF0" w:rsidRPr="0083231E">
              <w:t>:</w:t>
            </w:r>
          </w:p>
        </w:tc>
        <w:tc>
          <w:tcPr>
            <w:tcW w:w="7178" w:type="dxa"/>
          </w:tcPr>
          <w:p w14:paraId="30DA3662" w14:textId="77777777" w:rsidR="00B17AA6" w:rsidRPr="0083231E" w:rsidRDefault="00402C62" w:rsidP="005F7840">
            <w:pPr>
              <w:pStyle w:val="KeinLeerraum"/>
            </w:pPr>
            <w:r w:rsidRPr="0083231E">
              <w:t>K</w:t>
            </w:r>
            <w:r w:rsidR="001A755E" w:rsidRPr="0083231E">
              <w:t>eine Daten verfügbar</w:t>
            </w:r>
            <w:r w:rsidRPr="0083231E">
              <w:t>.</w:t>
            </w:r>
          </w:p>
        </w:tc>
      </w:tr>
      <w:tr w:rsidR="00B17AA6" w:rsidRPr="0083231E" w14:paraId="1835BD61" w14:textId="77777777" w:rsidTr="00A22BF0">
        <w:tc>
          <w:tcPr>
            <w:tcW w:w="2929" w:type="dxa"/>
          </w:tcPr>
          <w:p w14:paraId="45799BD5" w14:textId="77777777" w:rsidR="00B17AA6" w:rsidRPr="0083231E" w:rsidRDefault="00A22BF0" w:rsidP="005F7840">
            <w:pPr>
              <w:pStyle w:val="KeinLeerraum"/>
            </w:pPr>
            <w:r w:rsidRPr="0083231E">
              <w:t>Obere/untere Zünd- oder Explosionsgrenzen:</w:t>
            </w:r>
          </w:p>
        </w:tc>
        <w:tc>
          <w:tcPr>
            <w:tcW w:w="7178" w:type="dxa"/>
          </w:tcPr>
          <w:p w14:paraId="655C1245" w14:textId="77777777" w:rsidR="00B17AA6" w:rsidRPr="0083231E" w:rsidRDefault="00402C62" w:rsidP="005F7840">
            <w:pPr>
              <w:pStyle w:val="KeinLeerraum"/>
            </w:pPr>
            <w:r w:rsidRPr="0083231E">
              <w:t>K</w:t>
            </w:r>
            <w:r w:rsidR="00A22BF0" w:rsidRPr="0083231E">
              <w:t>eine Daten verfügbar</w:t>
            </w:r>
            <w:r w:rsidR="00E350FA" w:rsidRPr="0083231E">
              <w:t xml:space="preserve"> </w:t>
            </w:r>
            <w:r w:rsidRPr="0083231E">
              <w:t>.</w:t>
            </w:r>
          </w:p>
        </w:tc>
      </w:tr>
      <w:tr w:rsidR="00B17AA6" w:rsidRPr="0083231E" w14:paraId="234D78D3" w14:textId="77777777" w:rsidTr="00A22BF0">
        <w:tc>
          <w:tcPr>
            <w:tcW w:w="2929" w:type="dxa"/>
          </w:tcPr>
          <w:p w14:paraId="60AF03AF" w14:textId="77777777" w:rsidR="00B17AA6" w:rsidRPr="0083231E" w:rsidRDefault="0032333E" w:rsidP="005F7840">
            <w:pPr>
              <w:pStyle w:val="KeinLeerraum"/>
            </w:pPr>
            <w:r w:rsidRPr="0083231E">
              <w:t>Dampfdruck</w:t>
            </w:r>
            <w:r w:rsidR="00A22BF0" w:rsidRPr="0083231E">
              <w:t>:</w:t>
            </w:r>
          </w:p>
        </w:tc>
        <w:tc>
          <w:tcPr>
            <w:tcW w:w="7178" w:type="dxa"/>
          </w:tcPr>
          <w:p w14:paraId="352D3B6C" w14:textId="77777777" w:rsidR="00B17AA6" w:rsidRPr="0083231E" w:rsidRDefault="00A65088" w:rsidP="005F7840">
            <w:pPr>
              <w:pStyle w:val="KeinLeerraum"/>
            </w:pPr>
            <w:r w:rsidRPr="0083231E">
              <w:t>Nicht anwendbar</w:t>
            </w:r>
            <w:r w:rsidR="00402C62" w:rsidRPr="0083231E">
              <w:t>.</w:t>
            </w:r>
          </w:p>
        </w:tc>
      </w:tr>
      <w:tr w:rsidR="00B17AA6" w:rsidRPr="0083231E" w14:paraId="09238E14" w14:textId="77777777" w:rsidTr="00A22BF0">
        <w:tc>
          <w:tcPr>
            <w:tcW w:w="2929" w:type="dxa"/>
          </w:tcPr>
          <w:p w14:paraId="6E210147" w14:textId="77777777" w:rsidR="00B17AA6" w:rsidRPr="0083231E" w:rsidRDefault="00E350FA" w:rsidP="005F7840">
            <w:pPr>
              <w:pStyle w:val="KeinLeerraum"/>
            </w:pPr>
            <w:r w:rsidRPr="0083231E">
              <w:t>Dampfdichte</w:t>
            </w:r>
            <w:r w:rsidR="00A22BF0" w:rsidRPr="0083231E">
              <w:t>:</w:t>
            </w:r>
          </w:p>
        </w:tc>
        <w:tc>
          <w:tcPr>
            <w:tcW w:w="7178" w:type="dxa"/>
          </w:tcPr>
          <w:p w14:paraId="033AFDB4" w14:textId="77777777" w:rsidR="00B17AA6" w:rsidRPr="0083231E" w:rsidRDefault="00402C62" w:rsidP="005F7840">
            <w:pPr>
              <w:pStyle w:val="KeinLeerraum"/>
            </w:pPr>
            <w:r w:rsidRPr="0083231E">
              <w:t>K</w:t>
            </w:r>
            <w:r w:rsidR="00E350FA" w:rsidRPr="0083231E">
              <w:t>eine Daten verfügbar</w:t>
            </w:r>
            <w:r w:rsidRPr="0083231E">
              <w:t>.</w:t>
            </w:r>
          </w:p>
        </w:tc>
      </w:tr>
      <w:tr w:rsidR="00B17AA6" w:rsidRPr="0083231E" w14:paraId="6B60202B" w14:textId="77777777" w:rsidTr="00A22BF0">
        <w:tc>
          <w:tcPr>
            <w:tcW w:w="2929" w:type="dxa"/>
          </w:tcPr>
          <w:p w14:paraId="340E44C6" w14:textId="77777777" w:rsidR="00B17AA6" w:rsidRPr="0083231E" w:rsidRDefault="00E350FA" w:rsidP="005F7840">
            <w:pPr>
              <w:pStyle w:val="KeinLeerraum"/>
            </w:pPr>
            <w:r w:rsidRPr="0083231E">
              <w:t>Relative Dichte:</w:t>
            </w:r>
          </w:p>
        </w:tc>
        <w:tc>
          <w:tcPr>
            <w:tcW w:w="7178" w:type="dxa"/>
          </w:tcPr>
          <w:p w14:paraId="2271308C" w14:textId="77777777" w:rsidR="00B17AA6" w:rsidRPr="0083231E" w:rsidRDefault="00402C62" w:rsidP="005F7840">
            <w:pPr>
              <w:pStyle w:val="KeinLeerraum"/>
            </w:pPr>
            <w:r w:rsidRPr="0083231E">
              <w:t>K</w:t>
            </w:r>
            <w:r w:rsidR="00E350FA" w:rsidRPr="0083231E">
              <w:t>eine Daten verfügbar</w:t>
            </w:r>
            <w:r w:rsidRPr="0083231E">
              <w:t>.</w:t>
            </w:r>
          </w:p>
        </w:tc>
      </w:tr>
      <w:tr w:rsidR="00E350FA" w:rsidRPr="0083231E" w14:paraId="2075000E" w14:textId="77777777" w:rsidTr="00A22BF0">
        <w:tc>
          <w:tcPr>
            <w:tcW w:w="2929" w:type="dxa"/>
          </w:tcPr>
          <w:p w14:paraId="61BF07BE" w14:textId="77777777" w:rsidR="00E350FA" w:rsidRPr="0083231E" w:rsidRDefault="00E350FA" w:rsidP="005F7840">
            <w:pPr>
              <w:pStyle w:val="KeinLeerraum"/>
            </w:pPr>
            <w:r w:rsidRPr="0083231E">
              <w:t>Wasserlöslichkeit:</w:t>
            </w:r>
          </w:p>
        </w:tc>
        <w:tc>
          <w:tcPr>
            <w:tcW w:w="7178" w:type="dxa"/>
          </w:tcPr>
          <w:p w14:paraId="7898FED4" w14:textId="77777777" w:rsidR="00E350FA" w:rsidRPr="0083231E" w:rsidRDefault="00402C62" w:rsidP="005F7840">
            <w:pPr>
              <w:pStyle w:val="KeinLeerraum"/>
            </w:pPr>
            <w:r w:rsidRPr="0083231E">
              <w:t>K</w:t>
            </w:r>
            <w:r w:rsidR="00A22BF0" w:rsidRPr="0083231E">
              <w:t>eine Daten verfügbar</w:t>
            </w:r>
            <w:r w:rsidRPr="0083231E">
              <w:t>.</w:t>
            </w:r>
          </w:p>
        </w:tc>
      </w:tr>
      <w:tr w:rsidR="00E350FA" w:rsidRPr="0083231E" w14:paraId="39845944" w14:textId="77777777" w:rsidTr="00A22BF0">
        <w:tc>
          <w:tcPr>
            <w:tcW w:w="2929" w:type="dxa"/>
          </w:tcPr>
          <w:p w14:paraId="438FE86F" w14:textId="77777777" w:rsidR="00E350FA" w:rsidRPr="0083231E" w:rsidRDefault="00E350FA" w:rsidP="005F7840">
            <w:pPr>
              <w:pStyle w:val="KeinLeerraum"/>
            </w:pPr>
            <w:r w:rsidRPr="0083231E">
              <w:t xml:space="preserve">Verteilungskoeffizient: </w:t>
            </w:r>
            <w:r w:rsidR="000863A7" w:rsidRPr="0083231E">
              <w:br/>
            </w:r>
            <w:r w:rsidRPr="0083231E">
              <w:t>n-</w:t>
            </w:r>
            <w:proofErr w:type="spellStart"/>
            <w:r w:rsidRPr="0083231E">
              <w:t>Octanol</w:t>
            </w:r>
            <w:proofErr w:type="spellEnd"/>
            <w:r w:rsidRPr="0083231E">
              <w:t>/Wasser</w:t>
            </w:r>
            <w:r w:rsidR="00A22BF0" w:rsidRPr="0083231E">
              <w:t>:</w:t>
            </w:r>
          </w:p>
        </w:tc>
        <w:tc>
          <w:tcPr>
            <w:tcW w:w="7178" w:type="dxa"/>
          </w:tcPr>
          <w:p w14:paraId="02D4D1E1" w14:textId="77777777" w:rsidR="00E350FA" w:rsidRPr="0083231E" w:rsidRDefault="00402C62" w:rsidP="005F7840">
            <w:pPr>
              <w:pStyle w:val="KeinLeerraum"/>
            </w:pPr>
            <w:r w:rsidRPr="0083231E">
              <w:t>K</w:t>
            </w:r>
            <w:r w:rsidR="00E350FA" w:rsidRPr="0083231E">
              <w:t>eine Daten verfügbar</w:t>
            </w:r>
            <w:r w:rsidRPr="0083231E">
              <w:t>.</w:t>
            </w:r>
          </w:p>
        </w:tc>
      </w:tr>
      <w:tr w:rsidR="00E350FA" w:rsidRPr="0083231E" w14:paraId="55A1C7CF" w14:textId="77777777" w:rsidTr="00A22BF0">
        <w:tc>
          <w:tcPr>
            <w:tcW w:w="2929" w:type="dxa"/>
          </w:tcPr>
          <w:p w14:paraId="256145D9" w14:textId="77777777" w:rsidR="00E350FA" w:rsidRPr="0083231E" w:rsidRDefault="00E350FA" w:rsidP="005F7840">
            <w:pPr>
              <w:pStyle w:val="KeinLeerraum"/>
            </w:pPr>
            <w:r w:rsidRPr="0083231E">
              <w:t>Selbstentzündungstemperatur</w:t>
            </w:r>
            <w:r w:rsidR="00A22BF0" w:rsidRPr="0083231E">
              <w:t>:</w:t>
            </w:r>
          </w:p>
        </w:tc>
        <w:tc>
          <w:tcPr>
            <w:tcW w:w="7178" w:type="dxa"/>
          </w:tcPr>
          <w:p w14:paraId="1FC14C88" w14:textId="77777777" w:rsidR="00E350FA" w:rsidRPr="0083231E" w:rsidRDefault="00402C62" w:rsidP="005F7840">
            <w:pPr>
              <w:pStyle w:val="KeinLeerraum"/>
            </w:pPr>
            <w:r w:rsidRPr="0083231E">
              <w:t>K</w:t>
            </w:r>
            <w:r w:rsidR="00E350FA" w:rsidRPr="0083231E">
              <w:t>eine Daten verfügbar</w:t>
            </w:r>
            <w:r w:rsidRPr="0083231E">
              <w:t>.</w:t>
            </w:r>
          </w:p>
        </w:tc>
      </w:tr>
      <w:tr w:rsidR="00E350FA" w:rsidRPr="0083231E" w14:paraId="28041E10" w14:textId="77777777" w:rsidTr="00A22BF0">
        <w:tc>
          <w:tcPr>
            <w:tcW w:w="2929" w:type="dxa"/>
          </w:tcPr>
          <w:p w14:paraId="3A7B3833" w14:textId="77777777" w:rsidR="00E350FA" w:rsidRPr="0083231E" w:rsidRDefault="00E350FA" w:rsidP="005F7840">
            <w:pPr>
              <w:pStyle w:val="KeinLeerraum"/>
            </w:pPr>
            <w:r w:rsidRPr="0083231E">
              <w:t>Zersetzungstemperatur</w:t>
            </w:r>
            <w:r w:rsidR="00A22BF0" w:rsidRPr="0083231E">
              <w:t>:</w:t>
            </w:r>
          </w:p>
        </w:tc>
        <w:tc>
          <w:tcPr>
            <w:tcW w:w="7178" w:type="dxa"/>
          </w:tcPr>
          <w:p w14:paraId="2427DADD" w14:textId="77777777" w:rsidR="00E350FA" w:rsidRPr="0083231E" w:rsidRDefault="00A65088" w:rsidP="005F7840">
            <w:pPr>
              <w:pStyle w:val="KeinLeerraum"/>
            </w:pPr>
            <w:r w:rsidRPr="0083231E">
              <w:t>Keine Daten verfügbar.</w:t>
            </w:r>
          </w:p>
        </w:tc>
      </w:tr>
      <w:tr w:rsidR="00E350FA" w:rsidRPr="0083231E" w14:paraId="048C9D95" w14:textId="77777777" w:rsidTr="00A22BF0">
        <w:tc>
          <w:tcPr>
            <w:tcW w:w="2929" w:type="dxa"/>
          </w:tcPr>
          <w:p w14:paraId="4102141E" w14:textId="77777777" w:rsidR="00E350FA" w:rsidRPr="0083231E" w:rsidRDefault="00E350FA" w:rsidP="005F7840">
            <w:pPr>
              <w:pStyle w:val="KeinLeerraum"/>
            </w:pPr>
            <w:r w:rsidRPr="0083231E">
              <w:t>Viskosität</w:t>
            </w:r>
            <w:r w:rsidR="00402C62" w:rsidRPr="0083231E">
              <w:t>:</w:t>
            </w:r>
          </w:p>
        </w:tc>
        <w:tc>
          <w:tcPr>
            <w:tcW w:w="7178" w:type="dxa"/>
          </w:tcPr>
          <w:p w14:paraId="07CAA79B" w14:textId="77777777" w:rsidR="00E350FA" w:rsidRPr="0083231E" w:rsidRDefault="00402C62" w:rsidP="005F7840">
            <w:pPr>
              <w:pStyle w:val="KeinLeerraum"/>
            </w:pPr>
            <w:r w:rsidRPr="0083231E">
              <w:t>K</w:t>
            </w:r>
            <w:r w:rsidR="00E840B6" w:rsidRPr="0083231E">
              <w:t>eine Daten verfügbar</w:t>
            </w:r>
            <w:r w:rsidRPr="0083231E">
              <w:t>.</w:t>
            </w:r>
          </w:p>
        </w:tc>
      </w:tr>
      <w:tr w:rsidR="00E350FA" w:rsidRPr="0083231E" w14:paraId="71084C80" w14:textId="77777777" w:rsidTr="00A22BF0">
        <w:tc>
          <w:tcPr>
            <w:tcW w:w="2929" w:type="dxa"/>
          </w:tcPr>
          <w:p w14:paraId="2186206B" w14:textId="77777777" w:rsidR="00E350FA" w:rsidRPr="0083231E" w:rsidRDefault="00E840B6" w:rsidP="005F7840">
            <w:pPr>
              <w:pStyle w:val="KeinLeerraum"/>
            </w:pPr>
            <w:r w:rsidRPr="0083231E">
              <w:t>Explosive Eigenschaften</w:t>
            </w:r>
            <w:r w:rsidR="00402C62" w:rsidRPr="0083231E">
              <w:t>:</w:t>
            </w:r>
          </w:p>
        </w:tc>
        <w:tc>
          <w:tcPr>
            <w:tcW w:w="7178" w:type="dxa"/>
          </w:tcPr>
          <w:p w14:paraId="319660B2" w14:textId="77777777" w:rsidR="00E350FA" w:rsidRPr="0083231E" w:rsidRDefault="00402C62" w:rsidP="005F7840">
            <w:pPr>
              <w:pStyle w:val="KeinLeerraum"/>
            </w:pPr>
            <w:r w:rsidRPr="0083231E">
              <w:t>K</w:t>
            </w:r>
            <w:r w:rsidR="00E840B6" w:rsidRPr="0083231E">
              <w:t>eine Daten verfügbar</w:t>
            </w:r>
            <w:r w:rsidRPr="0083231E">
              <w:t>.</w:t>
            </w:r>
          </w:p>
        </w:tc>
      </w:tr>
      <w:tr w:rsidR="00E350FA" w:rsidRPr="0083231E" w14:paraId="2B512DA2" w14:textId="77777777" w:rsidTr="00A22BF0">
        <w:tc>
          <w:tcPr>
            <w:tcW w:w="2929" w:type="dxa"/>
          </w:tcPr>
          <w:p w14:paraId="666BC169" w14:textId="77777777" w:rsidR="00E350FA" w:rsidRPr="0083231E" w:rsidRDefault="00E840B6" w:rsidP="005F7840">
            <w:pPr>
              <w:pStyle w:val="KeinLeerraum"/>
            </w:pPr>
            <w:r w:rsidRPr="0083231E">
              <w:t>Oxidierende Eigenschaften</w:t>
            </w:r>
            <w:r w:rsidR="00402C62" w:rsidRPr="0083231E">
              <w:t>:</w:t>
            </w:r>
          </w:p>
        </w:tc>
        <w:tc>
          <w:tcPr>
            <w:tcW w:w="7178" w:type="dxa"/>
          </w:tcPr>
          <w:p w14:paraId="4EE7BD2C" w14:textId="77777777" w:rsidR="00E350FA" w:rsidRPr="0083231E" w:rsidRDefault="00402C62" w:rsidP="005F7840">
            <w:pPr>
              <w:pStyle w:val="KeinLeerraum"/>
            </w:pPr>
            <w:r w:rsidRPr="0083231E">
              <w:t>K</w:t>
            </w:r>
            <w:r w:rsidR="00E840B6" w:rsidRPr="0083231E">
              <w:t>eine Daten verfügbar</w:t>
            </w:r>
            <w:r w:rsidRPr="0083231E">
              <w:t>.</w:t>
            </w:r>
          </w:p>
        </w:tc>
      </w:tr>
    </w:tbl>
    <w:p w14:paraId="645061DD" w14:textId="77777777" w:rsidR="00E840B6" w:rsidRPr="0083231E" w:rsidRDefault="000F3237" w:rsidP="005F7840">
      <w:pPr>
        <w:pStyle w:val="berschrift4"/>
      </w:pPr>
      <w:r w:rsidRPr="0083231E">
        <w:t>Sonstige Angaben</w:t>
      </w:r>
      <w:r w:rsidR="00E840B6" w:rsidRPr="0083231E">
        <w:t xml:space="preserve"> zur Sicherheit</w:t>
      </w:r>
    </w:p>
    <w:p w14:paraId="7AC73618" w14:textId="77777777" w:rsidR="000F3237" w:rsidRPr="0083231E" w:rsidRDefault="00402C62" w:rsidP="005F7840">
      <w:pPr>
        <w:pStyle w:val="berschrift1"/>
      </w:pPr>
      <w:r w:rsidRPr="0083231E">
        <w:tab/>
        <w:t>K</w:t>
      </w:r>
      <w:r w:rsidR="00E840B6" w:rsidRPr="0083231E">
        <w:t>eine Daten verfügbar</w:t>
      </w:r>
      <w:r w:rsidRPr="0083231E">
        <w:t>.</w:t>
      </w:r>
    </w:p>
    <w:p w14:paraId="47733C9E" w14:textId="77777777" w:rsidR="0031422A" w:rsidRPr="0083231E" w:rsidRDefault="0031422A" w:rsidP="005F7840">
      <w:pPr>
        <w:pStyle w:val="Titel"/>
      </w:pPr>
      <w:r w:rsidRPr="0083231E">
        <w:t>_______________________________________________________________________________________</w:t>
      </w:r>
    </w:p>
    <w:p w14:paraId="2AE943A7" w14:textId="77777777" w:rsidR="00A216B0" w:rsidRPr="0083231E" w:rsidRDefault="00AB18FE" w:rsidP="00721FEF">
      <w:pPr>
        <w:pStyle w:val="berschrift3"/>
      </w:pPr>
      <w:r w:rsidRPr="0083231E">
        <w:t>ABSCHNITT</w:t>
      </w:r>
      <w:r w:rsidR="002F1645" w:rsidRPr="0083231E">
        <w:t xml:space="preserve">: </w:t>
      </w:r>
      <w:r w:rsidR="003A1825" w:rsidRPr="0083231E">
        <w:t>Stabilität und Reaktivität</w:t>
      </w:r>
    </w:p>
    <w:p w14:paraId="51D537BB"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7BC7E782"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3F09599E"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64BFD1BF"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2DDE73F0"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4A129913"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46875467"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50BDDFD7"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1F410E94"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1DD90495" w14:textId="77777777" w:rsidR="00721FEF" w:rsidRPr="0083231E" w:rsidRDefault="00721FEF" w:rsidP="00721FEF">
      <w:pPr>
        <w:pStyle w:val="Listenabsatz"/>
        <w:numPr>
          <w:ilvl w:val="0"/>
          <w:numId w:val="10"/>
        </w:numPr>
        <w:spacing w:before="120" w:after="120" w:line="240" w:lineRule="auto"/>
        <w:contextualSpacing w:val="0"/>
        <w:outlineLvl w:val="3"/>
        <w:rPr>
          <w:rFonts w:ascii="Arial" w:eastAsia="Times New Roman" w:hAnsi="Arial"/>
          <w:b/>
          <w:bCs/>
          <w:vanish/>
          <w:color w:val="000000" w:themeColor="text1"/>
          <w:lang w:eastAsia="de-DE"/>
        </w:rPr>
      </w:pPr>
    </w:p>
    <w:p w14:paraId="2991802D" w14:textId="77777777" w:rsidR="009700AB" w:rsidRPr="0083231E" w:rsidRDefault="00604D67" w:rsidP="00721FEF">
      <w:pPr>
        <w:pStyle w:val="berschrift4"/>
        <w:numPr>
          <w:ilvl w:val="1"/>
          <w:numId w:val="10"/>
        </w:numPr>
      </w:pPr>
      <w:r w:rsidRPr="0083231E">
        <w:t>Reaktivität</w:t>
      </w:r>
    </w:p>
    <w:p w14:paraId="4DEF1317" w14:textId="77777777" w:rsidR="00B413E5" w:rsidRPr="0083231E" w:rsidRDefault="00721FEF" w:rsidP="005F7840">
      <w:pPr>
        <w:pStyle w:val="berschrift1"/>
        <w:rPr>
          <w:b/>
        </w:rPr>
      </w:pPr>
      <w:r w:rsidRPr="0083231E">
        <w:t>Siehe Abschnitt 10.</w:t>
      </w:r>
      <w:r w:rsidR="00A216B0" w:rsidRPr="0083231E">
        <w:t>3</w:t>
      </w:r>
      <w:r w:rsidRPr="0083231E">
        <w:t>:</w:t>
      </w:r>
      <w:r w:rsidR="00A216B0" w:rsidRPr="0083231E">
        <w:t xml:space="preserve"> „Möglichkeit </w:t>
      </w:r>
      <w:r w:rsidR="00DA54B2" w:rsidRPr="0083231E">
        <w:t>gefährlicher</w:t>
      </w:r>
      <w:r w:rsidR="00A216B0" w:rsidRPr="0083231E">
        <w:t xml:space="preserve"> Reaktionen“.</w:t>
      </w:r>
    </w:p>
    <w:p w14:paraId="67BC43E7" w14:textId="77777777" w:rsidR="00B413E5" w:rsidRPr="0083231E" w:rsidRDefault="00604D67" w:rsidP="00721FEF">
      <w:pPr>
        <w:pStyle w:val="berschrift4"/>
        <w:numPr>
          <w:ilvl w:val="1"/>
          <w:numId w:val="10"/>
        </w:numPr>
        <w:ind w:left="709" w:hanging="709"/>
      </w:pPr>
      <w:r w:rsidRPr="0083231E">
        <w:t>Chemische Stabilität</w:t>
      </w:r>
    </w:p>
    <w:p w14:paraId="3C85D9FF" w14:textId="77777777" w:rsidR="00B413E5" w:rsidRPr="0083231E" w:rsidRDefault="00EF3996" w:rsidP="005F7840">
      <w:pPr>
        <w:pStyle w:val="berschrift1"/>
      </w:pPr>
      <w:r w:rsidRPr="0083231E">
        <w:rPr>
          <w:b/>
        </w:rPr>
        <w:tab/>
      </w:r>
      <w:r w:rsidRPr="0083231E">
        <w:t xml:space="preserve">Stabil unter </w:t>
      </w:r>
      <w:r w:rsidR="00A216B0" w:rsidRPr="0083231E">
        <w:t>Normalbedingungen.</w:t>
      </w:r>
    </w:p>
    <w:p w14:paraId="7608E6BF" w14:textId="77777777" w:rsidR="00B413E5" w:rsidRPr="0083231E" w:rsidRDefault="003A1825" w:rsidP="00721FEF">
      <w:pPr>
        <w:pStyle w:val="berschrift4"/>
        <w:numPr>
          <w:ilvl w:val="1"/>
          <w:numId w:val="10"/>
        </w:numPr>
        <w:ind w:left="709" w:hanging="709"/>
      </w:pPr>
      <w:r w:rsidRPr="0083231E">
        <w:t>Mögl</w:t>
      </w:r>
      <w:r w:rsidR="00604D67" w:rsidRPr="0083231E">
        <w:t>ichkeit gefährlicher Reaktionen</w:t>
      </w:r>
    </w:p>
    <w:p w14:paraId="4E8928CB" w14:textId="77777777" w:rsidR="00B413E5" w:rsidRPr="0083231E" w:rsidRDefault="00EF3996" w:rsidP="00721FEF">
      <w:pPr>
        <w:pStyle w:val="berschrift1"/>
        <w:ind w:left="709" w:hanging="709"/>
      </w:pPr>
      <w:r w:rsidRPr="0083231E">
        <w:rPr>
          <w:b/>
        </w:rPr>
        <w:tab/>
      </w:r>
      <w:r w:rsidR="00A216B0" w:rsidRPr="0083231E">
        <w:t>Beim Erhitzen des Produktes über den Zersetzungspunkt hinaus ist das Freisetzen toxischer Dämpfe mö</w:t>
      </w:r>
      <w:r w:rsidR="00637D32" w:rsidRPr="0083231E">
        <w:t>g</w:t>
      </w:r>
      <w:r w:rsidR="00A216B0" w:rsidRPr="0083231E">
        <w:t>lich.</w:t>
      </w:r>
    </w:p>
    <w:p w14:paraId="7EEED3E0" w14:textId="77777777" w:rsidR="00BF144D" w:rsidRPr="0083231E" w:rsidRDefault="00EF3996" w:rsidP="00721FEF">
      <w:pPr>
        <w:pStyle w:val="berschrift4"/>
        <w:numPr>
          <w:ilvl w:val="1"/>
          <w:numId w:val="10"/>
        </w:numPr>
        <w:ind w:left="709" w:hanging="709"/>
      </w:pPr>
      <w:r w:rsidRPr="0083231E">
        <w:lastRenderedPageBreak/>
        <w:t xml:space="preserve">Thermische Zersetzung  / </w:t>
      </w:r>
      <w:r w:rsidR="003A1825" w:rsidRPr="0083231E">
        <w:t xml:space="preserve">Zu </w:t>
      </w:r>
      <w:r w:rsidR="00604D67" w:rsidRPr="0083231E">
        <w:t>vermeidende Bedingungen</w:t>
      </w:r>
    </w:p>
    <w:p w14:paraId="2B433A4D" w14:textId="77777777" w:rsidR="00A216B0" w:rsidRPr="0083231E" w:rsidRDefault="00EF3996" w:rsidP="00721FEF">
      <w:pPr>
        <w:pStyle w:val="berschrift1"/>
        <w:ind w:left="709" w:hanging="709"/>
      </w:pPr>
      <w:r w:rsidRPr="0083231E">
        <w:rPr>
          <w:b/>
        </w:rPr>
        <w:tab/>
      </w:r>
      <w:r w:rsidRPr="0083231E">
        <w:t>Keine Zersetzung bei bestimmungsgemäßer Verwendung.</w:t>
      </w:r>
      <w:r w:rsidR="0056450A" w:rsidRPr="0083231E">
        <w:t xml:space="preserve"> Erhitzung, offene Flammen, Zündquellen vermeiden.</w:t>
      </w:r>
      <w:r w:rsidR="00721FEF" w:rsidRPr="0083231E">
        <w:t xml:space="preserve"> Reaktionstemperaturen bzw. Temperaturen unter dem Zersetzungspunkt wählen.</w:t>
      </w:r>
    </w:p>
    <w:p w14:paraId="4D20749D" w14:textId="77777777" w:rsidR="00A216B0" w:rsidRPr="0083231E" w:rsidRDefault="002B7F8D" w:rsidP="00721FEF">
      <w:pPr>
        <w:pStyle w:val="berschrift4"/>
        <w:numPr>
          <w:ilvl w:val="1"/>
          <w:numId w:val="10"/>
        </w:numPr>
        <w:ind w:left="709" w:hanging="709"/>
      </w:pPr>
      <w:r w:rsidRPr="0083231E">
        <w:t>Unverträgliche Materialien</w:t>
      </w:r>
    </w:p>
    <w:p w14:paraId="7126804D" w14:textId="77777777" w:rsidR="00AC1949" w:rsidRPr="0083231E" w:rsidRDefault="00A216B0" w:rsidP="00721FEF">
      <w:pPr>
        <w:pStyle w:val="berschrift1"/>
        <w:ind w:left="709" w:hanging="709"/>
      </w:pPr>
      <w:r w:rsidRPr="0083231E">
        <w:rPr>
          <w:b/>
        </w:rPr>
        <w:tab/>
      </w:r>
      <w:r w:rsidR="002B7F8D" w:rsidRPr="0083231E">
        <w:t>Starke Basen.</w:t>
      </w:r>
    </w:p>
    <w:p w14:paraId="6D14FEEF" w14:textId="77777777" w:rsidR="00A216B0" w:rsidRPr="0083231E" w:rsidRDefault="00A216B0" w:rsidP="00721FEF">
      <w:pPr>
        <w:pStyle w:val="berschrift4"/>
        <w:numPr>
          <w:ilvl w:val="1"/>
          <w:numId w:val="10"/>
        </w:numPr>
        <w:ind w:left="709" w:hanging="709"/>
      </w:pPr>
      <w:r w:rsidRPr="0083231E">
        <w:t>Gefährliche Zersetzungsprodukte</w:t>
      </w:r>
    </w:p>
    <w:p w14:paraId="5985057E" w14:textId="77777777" w:rsidR="00A216B0" w:rsidRPr="0083231E" w:rsidRDefault="00A216B0" w:rsidP="005F7840">
      <w:pPr>
        <w:pStyle w:val="berschrift1"/>
      </w:pPr>
      <w:r w:rsidRPr="0083231E">
        <w:rPr>
          <w:b/>
        </w:rPr>
        <w:tab/>
      </w:r>
      <w:r w:rsidRPr="0083231E">
        <w:t xml:space="preserve">Zersetzungsprodukte wie Fluorwasserstoffe oder toxische, fluorhaltige Pyrolyseprodukte können </w:t>
      </w:r>
      <w:r w:rsidR="00113100" w:rsidRPr="0083231E">
        <w:t>entstehen.</w:t>
      </w:r>
    </w:p>
    <w:p w14:paraId="5F30978D" w14:textId="77777777" w:rsidR="0084209D" w:rsidRPr="0083231E" w:rsidRDefault="0084209D" w:rsidP="005F7840">
      <w:pPr>
        <w:pStyle w:val="Titel"/>
      </w:pPr>
      <w:r w:rsidRPr="0083231E">
        <w:t>_____________________________________________________________________________</w:t>
      </w:r>
      <w:r w:rsidR="00D752EF" w:rsidRPr="0083231E">
        <w:t>________</w:t>
      </w:r>
      <w:r w:rsidR="00AF2288" w:rsidRPr="0083231E">
        <w:t>__</w:t>
      </w:r>
    </w:p>
    <w:p w14:paraId="6632E1D3" w14:textId="77777777" w:rsidR="00AF7D10" w:rsidRPr="0083231E" w:rsidRDefault="00AB18FE" w:rsidP="002B7F8D">
      <w:pPr>
        <w:pStyle w:val="berschrift3"/>
      </w:pPr>
      <w:bookmarkStart w:id="0" w:name="OLE_LINK1"/>
      <w:r w:rsidRPr="0083231E">
        <w:t>ABSCHNITT</w:t>
      </w:r>
      <w:r w:rsidR="002F1645" w:rsidRPr="0083231E">
        <w:t xml:space="preserve">: </w:t>
      </w:r>
      <w:r w:rsidR="00C021AE" w:rsidRPr="0083231E">
        <w:t>Tox</w:t>
      </w:r>
      <w:r w:rsidR="002B6122" w:rsidRPr="0083231E">
        <w:t>ikologische Angaben</w:t>
      </w:r>
    </w:p>
    <w:p w14:paraId="490E412E" w14:textId="77777777" w:rsidR="002B7F8D" w:rsidRPr="0083231E" w:rsidRDefault="002B7F8D" w:rsidP="002B7F8D">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42E76045" w14:textId="77777777" w:rsidR="002B7F8D" w:rsidRPr="0083231E" w:rsidRDefault="002B7F8D" w:rsidP="002B7F8D">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416519BF" w14:textId="77777777" w:rsidR="00A1408B" w:rsidRPr="0083231E" w:rsidRDefault="004A674A" w:rsidP="002B7F8D">
      <w:pPr>
        <w:pStyle w:val="berschrift4"/>
      </w:pPr>
      <w:r w:rsidRPr="0083231E">
        <w:t>Angaben zu toxikologischen Wirkungen</w:t>
      </w:r>
    </w:p>
    <w:p w14:paraId="5E9996B1" w14:textId="77777777" w:rsidR="002E2809" w:rsidRPr="0083231E" w:rsidRDefault="002E2809" w:rsidP="002E2809">
      <w:pPr>
        <w:pStyle w:val="Untertitel"/>
      </w:pPr>
      <w:r w:rsidRPr="0083231E">
        <w:t xml:space="preserve">Substanz 1: </w:t>
      </w:r>
      <w:proofErr w:type="spellStart"/>
      <w:r w:rsidRPr="0083231E">
        <w:t>Perfluoralkan</w:t>
      </w:r>
      <w:proofErr w:type="spellEnd"/>
    </w:p>
    <w:p w14:paraId="4536EA21" w14:textId="77777777" w:rsidR="00B70F35" w:rsidRPr="0083231E" w:rsidRDefault="00B70F35" w:rsidP="002E2809">
      <w:pPr>
        <w:pStyle w:val="Zitat"/>
        <w:ind w:left="1134" w:firstLine="0"/>
        <w:rPr>
          <w:rStyle w:val="SchwacheHervorhebung"/>
        </w:rPr>
      </w:pPr>
      <w:r w:rsidRPr="0083231E">
        <w:rPr>
          <w:rStyle w:val="SchwacheHervorhebung"/>
        </w:rPr>
        <w:t>Akute Toxizität:</w:t>
      </w:r>
    </w:p>
    <w:p w14:paraId="66C0C80E" w14:textId="77777777" w:rsidR="00B70F35" w:rsidRPr="0083231E" w:rsidRDefault="00287141" w:rsidP="002E2809">
      <w:pPr>
        <w:pStyle w:val="berschrift1"/>
        <w:ind w:left="1134"/>
      </w:pPr>
      <w:r w:rsidRPr="0083231E">
        <w:t>Keine Daten verfügbar.</w:t>
      </w:r>
    </w:p>
    <w:p w14:paraId="0CC7B9A6" w14:textId="77777777" w:rsidR="00F80D59" w:rsidRPr="0083231E" w:rsidRDefault="002C664C" w:rsidP="002E2809">
      <w:pPr>
        <w:pStyle w:val="Zitat"/>
        <w:ind w:left="1134" w:firstLine="0"/>
        <w:rPr>
          <w:rStyle w:val="SchwacheHervorhebung"/>
          <w:rFonts w:eastAsia="Arial Unicode MS"/>
        </w:rPr>
      </w:pPr>
      <w:r w:rsidRPr="0083231E">
        <w:rPr>
          <w:rStyle w:val="SchwacheHervorhebung"/>
          <w:rFonts w:eastAsia="Arial Unicode MS"/>
        </w:rPr>
        <w:t>Ätz-/Reizwirkung auf die Haut</w:t>
      </w:r>
      <w:r w:rsidR="00E94D22" w:rsidRPr="0083231E">
        <w:rPr>
          <w:rStyle w:val="SchwacheHervorhebung"/>
          <w:rFonts w:eastAsia="Arial Unicode MS"/>
        </w:rPr>
        <w:t>:</w:t>
      </w:r>
    </w:p>
    <w:p w14:paraId="6529D2BE" w14:textId="77777777" w:rsidR="00287141" w:rsidRPr="0083231E" w:rsidRDefault="00287141" w:rsidP="002E2809">
      <w:pPr>
        <w:pStyle w:val="berschrift1"/>
        <w:ind w:left="1134"/>
      </w:pPr>
      <w:r w:rsidRPr="0083231E">
        <w:t>Keine Daten verfügbar.</w:t>
      </w:r>
    </w:p>
    <w:p w14:paraId="1086C122" w14:textId="77777777" w:rsidR="009A7C9B" w:rsidRPr="0083231E" w:rsidRDefault="009A7C9B" w:rsidP="002E2809">
      <w:pPr>
        <w:pStyle w:val="Zitat"/>
        <w:ind w:left="1134" w:firstLine="0"/>
        <w:rPr>
          <w:rStyle w:val="SchwacheHervorhebung"/>
        </w:rPr>
      </w:pPr>
      <w:r w:rsidRPr="0083231E">
        <w:rPr>
          <w:rStyle w:val="SchwacheHervorhebung"/>
        </w:rPr>
        <w:t>Schwere Augenschädigung/-reizung:</w:t>
      </w:r>
    </w:p>
    <w:p w14:paraId="1CABDD5E" w14:textId="77777777" w:rsidR="00287141" w:rsidRPr="0083231E" w:rsidRDefault="00287141" w:rsidP="002E2809">
      <w:pPr>
        <w:pStyle w:val="berschrift1"/>
        <w:ind w:left="1134"/>
      </w:pPr>
      <w:r w:rsidRPr="0083231E">
        <w:t>Keine Daten verfügbar.</w:t>
      </w:r>
    </w:p>
    <w:p w14:paraId="0858127A" w14:textId="77777777" w:rsidR="003859E2" w:rsidRPr="0083231E" w:rsidRDefault="003859E2" w:rsidP="002E2809">
      <w:pPr>
        <w:pStyle w:val="Zitat"/>
        <w:ind w:left="1134" w:firstLine="0"/>
        <w:rPr>
          <w:rStyle w:val="SchwacheHervorhebung"/>
        </w:rPr>
      </w:pPr>
      <w:r w:rsidRPr="0083231E">
        <w:rPr>
          <w:rStyle w:val="SchwacheHervorhebung"/>
        </w:rPr>
        <w:t>Sensibilisierung</w:t>
      </w:r>
      <w:r w:rsidR="005D4EA1" w:rsidRPr="0083231E">
        <w:rPr>
          <w:rStyle w:val="SchwacheHervorhebung"/>
        </w:rPr>
        <w:t xml:space="preserve"> der Atemwege/Haut</w:t>
      </w:r>
      <w:r w:rsidR="00E94D22" w:rsidRPr="0083231E">
        <w:rPr>
          <w:rStyle w:val="SchwacheHervorhebung"/>
        </w:rPr>
        <w:t>:</w:t>
      </w:r>
    </w:p>
    <w:p w14:paraId="35C9960E" w14:textId="77777777" w:rsidR="00287141" w:rsidRPr="0083231E" w:rsidRDefault="00287141" w:rsidP="002E2809">
      <w:pPr>
        <w:pStyle w:val="berschrift1"/>
        <w:ind w:left="1134"/>
      </w:pPr>
      <w:r w:rsidRPr="0083231E">
        <w:t>Keine Daten verfügbar.</w:t>
      </w:r>
    </w:p>
    <w:p w14:paraId="118E78B8" w14:textId="77777777" w:rsidR="00D62727" w:rsidRPr="0083231E" w:rsidRDefault="00D62727" w:rsidP="002E2809">
      <w:pPr>
        <w:pStyle w:val="Zitat"/>
        <w:ind w:left="1134" w:firstLine="0"/>
        <w:rPr>
          <w:rStyle w:val="SchwacheHervorhebung"/>
        </w:rPr>
      </w:pPr>
      <w:r w:rsidRPr="0083231E">
        <w:rPr>
          <w:rStyle w:val="SchwacheHervorhebung"/>
        </w:rPr>
        <w:t>Keimzell-Mutagenität</w:t>
      </w:r>
      <w:r w:rsidR="00E94D22" w:rsidRPr="0083231E">
        <w:rPr>
          <w:rStyle w:val="SchwacheHervorhebung"/>
        </w:rPr>
        <w:t>:</w:t>
      </w:r>
    </w:p>
    <w:p w14:paraId="21B9F852" w14:textId="77777777" w:rsidR="00D62727" w:rsidRPr="0083231E" w:rsidRDefault="00D62727" w:rsidP="002E2809">
      <w:pPr>
        <w:pStyle w:val="berschrift1"/>
        <w:ind w:left="1134"/>
      </w:pPr>
      <w:r w:rsidRPr="0083231E">
        <w:t>Keine Daten verfügbar.</w:t>
      </w:r>
    </w:p>
    <w:p w14:paraId="76783495" w14:textId="77777777" w:rsidR="00D62727" w:rsidRPr="0083231E" w:rsidRDefault="00D62727" w:rsidP="002E2809">
      <w:pPr>
        <w:pStyle w:val="Zitat"/>
        <w:ind w:left="1134" w:firstLine="0"/>
        <w:rPr>
          <w:rStyle w:val="SchwacheHervorhebung"/>
        </w:rPr>
      </w:pPr>
      <w:proofErr w:type="spellStart"/>
      <w:r w:rsidRPr="0083231E">
        <w:rPr>
          <w:rStyle w:val="SchwacheHervorhebung"/>
        </w:rPr>
        <w:t>Karzinogenität</w:t>
      </w:r>
      <w:proofErr w:type="spellEnd"/>
      <w:r w:rsidR="00E94D22" w:rsidRPr="0083231E">
        <w:rPr>
          <w:rStyle w:val="SchwacheHervorhebung"/>
        </w:rPr>
        <w:t>:</w:t>
      </w:r>
    </w:p>
    <w:p w14:paraId="7C862D50" w14:textId="77777777" w:rsidR="008270CE" w:rsidRPr="0083231E" w:rsidRDefault="00D62727" w:rsidP="002E2809">
      <w:pPr>
        <w:pStyle w:val="berschrift1"/>
        <w:ind w:left="1134"/>
      </w:pPr>
      <w:r w:rsidRPr="0083231E">
        <w:t>Keine Daten verfügbar.</w:t>
      </w:r>
    </w:p>
    <w:p w14:paraId="42855990" w14:textId="77777777" w:rsidR="00D62727" w:rsidRPr="0083231E" w:rsidRDefault="00D62727" w:rsidP="002E2809">
      <w:pPr>
        <w:pStyle w:val="Zitat"/>
        <w:ind w:left="1134" w:firstLine="0"/>
        <w:rPr>
          <w:rStyle w:val="SchwacheHervorhebung"/>
        </w:rPr>
      </w:pPr>
      <w:r w:rsidRPr="0083231E">
        <w:rPr>
          <w:rStyle w:val="SchwacheHervorhebung"/>
        </w:rPr>
        <w:t>Reproduktionstoxizität</w:t>
      </w:r>
      <w:r w:rsidR="00E94D22" w:rsidRPr="0083231E">
        <w:rPr>
          <w:rStyle w:val="SchwacheHervorhebung"/>
        </w:rPr>
        <w:t>:</w:t>
      </w:r>
    </w:p>
    <w:p w14:paraId="10C9BAC3" w14:textId="77777777" w:rsidR="00AF2288" w:rsidRPr="0083231E" w:rsidRDefault="00D62727" w:rsidP="002E2809">
      <w:pPr>
        <w:pStyle w:val="berschrift1"/>
        <w:ind w:left="1134"/>
      </w:pPr>
      <w:r w:rsidRPr="0083231E">
        <w:t>Keine Daten verfügbar</w:t>
      </w:r>
      <w:r w:rsidR="00402C62" w:rsidRPr="0083231E">
        <w:t>.</w:t>
      </w:r>
    </w:p>
    <w:p w14:paraId="260E8F54" w14:textId="77777777" w:rsidR="00D62727" w:rsidRPr="0083231E" w:rsidRDefault="00D62727" w:rsidP="002E2809">
      <w:pPr>
        <w:pStyle w:val="Zitat"/>
        <w:ind w:left="1134" w:firstLine="0"/>
        <w:rPr>
          <w:rStyle w:val="SchwacheHervorhebung"/>
        </w:rPr>
      </w:pPr>
      <w:r w:rsidRPr="0083231E">
        <w:rPr>
          <w:rStyle w:val="SchwacheHervorhebung"/>
        </w:rPr>
        <w:t>Spezifische Zielorgan-Toxizität - einmalige Exposition</w:t>
      </w:r>
      <w:r w:rsidR="00E94D22" w:rsidRPr="0083231E">
        <w:rPr>
          <w:rStyle w:val="SchwacheHervorhebung"/>
        </w:rPr>
        <w:t>:</w:t>
      </w:r>
    </w:p>
    <w:p w14:paraId="179D3DBE" w14:textId="77777777" w:rsidR="008270CE" w:rsidRPr="0083231E" w:rsidRDefault="00D62727" w:rsidP="002E2809">
      <w:pPr>
        <w:pStyle w:val="berschrift1"/>
        <w:ind w:left="1134"/>
      </w:pPr>
      <w:r w:rsidRPr="0083231E">
        <w:t>Keine Daten verfügbar</w:t>
      </w:r>
      <w:r w:rsidR="00402C62" w:rsidRPr="0083231E">
        <w:t>.</w:t>
      </w:r>
    </w:p>
    <w:p w14:paraId="06566CA8" w14:textId="77777777" w:rsidR="00D62727" w:rsidRPr="0083231E" w:rsidRDefault="00D62727" w:rsidP="002E2809">
      <w:pPr>
        <w:pStyle w:val="Zitat"/>
        <w:ind w:left="1134" w:firstLine="0"/>
        <w:rPr>
          <w:rStyle w:val="SchwacheHervorhebung"/>
        </w:rPr>
      </w:pPr>
      <w:r w:rsidRPr="0083231E">
        <w:rPr>
          <w:rStyle w:val="SchwacheHervorhebung"/>
        </w:rPr>
        <w:t>Spezifische Zielorgan-Toxizität - wiederholte Exposition</w:t>
      </w:r>
      <w:r w:rsidR="00E94D22" w:rsidRPr="0083231E">
        <w:rPr>
          <w:rStyle w:val="SchwacheHervorhebung"/>
        </w:rPr>
        <w:t>:</w:t>
      </w:r>
    </w:p>
    <w:p w14:paraId="3C931936" w14:textId="77777777" w:rsidR="008270CE" w:rsidRPr="0083231E" w:rsidRDefault="00D62727" w:rsidP="002E2809">
      <w:pPr>
        <w:pStyle w:val="berschrift1"/>
        <w:ind w:left="1134"/>
      </w:pPr>
      <w:r w:rsidRPr="0083231E">
        <w:t>Keine Daten verfügbar</w:t>
      </w:r>
      <w:r w:rsidR="00402C62" w:rsidRPr="0083231E">
        <w:t>.</w:t>
      </w:r>
    </w:p>
    <w:p w14:paraId="723AFE96" w14:textId="77777777" w:rsidR="00D62727" w:rsidRPr="0083231E" w:rsidRDefault="00D62727" w:rsidP="002E2809">
      <w:pPr>
        <w:pStyle w:val="Zitat"/>
        <w:ind w:left="1134" w:firstLine="0"/>
        <w:rPr>
          <w:rStyle w:val="SchwacheHervorhebung"/>
        </w:rPr>
      </w:pPr>
      <w:r w:rsidRPr="0083231E">
        <w:rPr>
          <w:rStyle w:val="SchwacheHervorhebung"/>
        </w:rPr>
        <w:t>Aspirationsgefahr</w:t>
      </w:r>
      <w:r w:rsidR="00E94D22" w:rsidRPr="0083231E">
        <w:rPr>
          <w:rStyle w:val="SchwacheHervorhebung"/>
        </w:rPr>
        <w:t>:</w:t>
      </w:r>
    </w:p>
    <w:p w14:paraId="5C45B5C1" w14:textId="77777777" w:rsidR="003859E2" w:rsidRPr="0083231E" w:rsidRDefault="00D62727" w:rsidP="002E2809">
      <w:pPr>
        <w:pStyle w:val="berschrift1"/>
        <w:ind w:left="1134"/>
      </w:pPr>
      <w:r w:rsidRPr="0083231E">
        <w:t>Keine Daten verfügbar</w:t>
      </w:r>
      <w:r w:rsidR="00402C62" w:rsidRPr="0083231E">
        <w:t>.</w:t>
      </w:r>
    </w:p>
    <w:p w14:paraId="795A914A" w14:textId="77777777" w:rsidR="003859E2" w:rsidRPr="0083231E" w:rsidRDefault="00D62727" w:rsidP="002E2809">
      <w:pPr>
        <w:pStyle w:val="Zitat"/>
        <w:ind w:left="1134" w:firstLine="0"/>
        <w:rPr>
          <w:rStyle w:val="SchwacheHervorhebung"/>
        </w:rPr>
      </w:pPr>
      <w:r w:rsidRPr="0083231E">
        <w:rPr>
          <w:rStyle w:val="SchwacheHervorhebung"/>
        </w:rPr>
        <w:t>Zusät</w:t>
      </w:r>
      <w:r w:rsidR="003859E2" w:rsidRPr="0083231E">
        <w:rPr>
          <w:rStyle w:val="SchwacheHervorhebung"/>
        </w:rPr>
        <w:t>zliche Information:</w:t>
      </w:r>
    </w:p>
    <w:p w14:paraId="2284BE78" w14:textId="77777777" w:rsidR="008270CE" w:rsidRPr="0083231E" w:rsidRDefault="00287141" w:rsidP="002E2809">
      <w:pPr>
        <w:pStyle w:val="berschrift1"/>
        <w:ind w:left="1134"/>
      </w:pPr>
      <w:r w:rsidRPr="0083231E">
        <w:t>Vorsicht! Substanz wurde noch nicht vollständig geprüft. Eine Reizung der Atmungsorgane kann nicht ausgeschlossen werden. Die Gefahr einer Lungenreizung besteht.</w:t>
      </w:r>
    </w:p>
    <w:p w14:paraId="598BBB5D" w14:textId="77777777" w:rsidR="00864FB6" w:rsidRPr="0083231E" w:rsidRDefault="00864FB6">
      <w:pPr>
        <w:spacing w:after="0"/>
        <w:rPr>
          <w:b/>
          <w:bCs/>
          <w:sz w:val="22"/>
          <w:szCs w:val="22"/>
        </w:rPr>
      </w:pPr>
      <w:r w:rsidRPr="0083231E">
        <w:br w:type="page"/>
      </w:r>
    </w:p>
    <w:p w14:paraId="609FBA59" w14:textId="77777777" w:rsidR="002E2809" w:rsidRPr="0083231E" w:rsidRDefault="002E2809" w:rsidP="002E2809">
      <w:pPr>
        <w:pStyle w:val="Untertitel"/>
      </w:pPr>
      <w:r w:rsidRPr="0083231E">
        <w:lastRenderedPageBreak/>
        <w:t xml:space="preserve">Substanz 2: </w:t>
      </w:r>
      <w:proofErr w:type="spellStart"/>
      <w:r w:rsidRPr="0083231E">
        <w:t>Ethylnonafluorisobutylether</w:t>
      </w:r>
      <w:proofErr w:type="spellEnd"/>
    </w:p>
    <w:p w14:paraId="6ABCC0D2" w14:textId="77777777" w:rsidR="002E2809" w:rsidRPr="0083231E" w:rsidRDefault="002E2809" w:rsidP="002E2809">
      <w:pPr>
        <w:pStyle w:val="Zitat"/>
        <w:ind w:left="1134" w:firstLine="0"/>
        <w:rPr>
          <w:rStyle w:val="SchwacheHervorhebung"/>
        </w:rPr>
      </w:pPr>
      <w:r w:rsidRPr="0083231E">
        <w:rPr>
          <w:rStyle w:val="SchwacheHervorhebung"/>
        </w:rPr>
        <w:t>Akute Toxizität:</w:t>
      </w:r>
    </w:p>
    <w:p w14:paraId="663E25FB" w14:textId="77777777" w:rsidR="002E2809" w:rsidRPr="0083231E" w:rsidRDefault="002E23E7" w:rsidP="002E2809">
      <w:pPr>
        <w:pStyle w:val="berschrift1"/>
        <w:ind w:left="1134" w:right="107"/>
        <w:jc w:val="left"/>
      </w:pPr>
      <w:r w:rsidRPr="0083231E">
        <w:t>LD</w:t>
      </w:r>
      <w:r w:rsidRPr="0083231E">
        <w:rPr>
          <w:vertAlign w:val="subscript"/>
        </w:rPr>
        <w:t>50</w:t>
      </w:r>
      <w:r w:rsidRPr="0083231E">
        <w:t xml:space="preserve"> Oral</w:t>
      </w:r>
      <w:r w:rsidR="001D7474" w:rsidRPr="0083231E">
        <w:t xml:space="preserve"> (Ratte): &gt; 2</w:t>
      </w:r>
      <w:r w:rsidR="002E2809" w:rsidRPr="0083231E">
        <w:t>000 mg/kg</w:t>
      </w:r>
      <w:r w:rsidR="001D7474" w:rsidRPr="0083231E">
        <w:t xml:space="preserve"> (UN GHS Einstufung: Kategorie 5).</w:t>
      </w:r>
      <w:r w:rsidR="001D7474" w:rsidRPr="0083231E">
        <w:br/>
        <w:t>LC</w:t>
      </w:r>
      <w:r w:rsidR="002E2809" w:rsidRPr="0083231E">
        <w:rPr>
          <w:vertAlign w:val="subscript"/>
        </w:rPr>
        <w:t>50</w:t>
      </w:r>
      <w:r w:rsidR="002E2809" w:rsidRPr="0083231E">
        <w:t xml:space="preserve"> </w:t>
      </w:r>
      <w:r w:rsidR="001D7474" w:rsidRPr="0083231E">
        <w:t xml:space="preserve">Inhalation (Dampf, 4 Std., </w:t>
      </w:r>
      <w:r w:rsidR="00065A00" w:rsidRPr="0083231E">
        <w:t>Ratte):</w:t>
      </w:r>
      <w:r w:rsidR="002E2809" w:rsidRPr="0083231E">
        <w:t xml:space="preserve"> </w:t>
      </w:r>
      <w:r w:rsidR="001D7474" w:rsidRPr="0083231E">
        <w:t>1000 mg/L (UN GHS Einstufung: Nicht eingestuft).</w:t>
      </w:r>
    </w:p>
    <w:p w14:paraId="79440B63" w14:textId="77777777" w:rsidR="002E2809" w:rsidRPr="0083231E" w:rsidRDefault="002E2809" w:rsidP="002E2809">
      <w:pPr>
        <w:pStyle w:val="Zitat"/>
        <w:ind w:left="1134" w:firstLine="0"/>
        <w:rPr>
          <w:rStyle w:val="SchwacheHervorhebung"/>
          <w:rFonts w:eastAsia="Arial Unicode MS"/>
        </w:rPr>
      </w:pPr>
      <w:r w:rsidRPr="0083231E">
        <w:rPr>
          <w:rStyle w:val="SchwacheHervorhebung"/>
          <w:rFonts w:eastAsia="Arial Unicode MS"/>
        </w:rPr>
        <w:t>Ätz-/Reizwirkung auf die Haut:</w:t>
      </w:r>
    </w:p>
    <w:p w14:paraId="4275C2CF" w14:textId="77777777" w:rsidR="002E2809" w:rsidRPr="0083231E" w:rsidRDefault="001D7474" w:rsidP="002E2809">
      <w:pPr>
        <w:pStyle w:val="berschrift1"/>
        <w:ind w:left="1134"/>
      </w:pPr>
      <w:r w:rsidRPr="0083231E">
        <w:t>Kaninchen: Keine signifikante Reizung (UN GHS Einstufung: Nicht eingestuft).</w:t>
      </w:r>
    </w:p>
    <w:p w14:paraId="3ABF6421" w14:textId="77777777" w:rsidR="002E2809" w:rsidRPr="0083231E" w:rsidRDefault="002E2809" w:rsidP="002E2809">
      <w:pPr>
        <w:pStyle w:val="Zitat"/>
        <w:ind w:left="1134" w:firstLine="0"/>
        <w:rPr>
          <w:rStyle w:val="SchwacheHervorhebung"/>
        </w:rPr>
      </w:pPr>
      <w:r w:rsidRPr="0083231E">
        <w:rPr>
          <w:rStyle w:val="SchwacheHervorhebung"/>
        </w:rPr>
        <w:t>Schwere Augenschädigung/-reizung:</w:t>
      </w:r>
    </w:p>
    <w:p w14:paraId="5B71132A" w14:textId="77777777" w:rsidR="001D7474" w:rsidRPr="0083231E" w:rsidRDefault="001D7474" w:rsidP="001D7474">
      <w:pPr>
        <w:pStyle w:val="berschrift1"/>
        <w:ind w:left="1134"/>
      </w:pPr>
      <w:r w:rsidRPr="0083231E">
        <w:t>Kaninchen: Leicht reizend (UN GHS Einstufung: Nicht eingestuft).</w:t>
      </w:r>
    </w:p>
    <w:p w14:paraId="1BF90F8C" w14:textId="77777777" w:rsidR="002E2809" w:rsidRPr="0083231E" w:rsidRDefault="002E2809" w:rsidP="002E2809">
      <w:pPr>
        <w:pStyle w:val="Zitat"/>
        <w:ind w:left="1134" w:firstLine="0"/>
        <w:rPr>
          <w:rStyle w:val="SchwacheHervorhebung"/>
        </w:rPr>
      </w:pPr>
      <w:r w:rsidRPr="0083231E">
        <w:rPr>
          <w:rStyle w:val="SchwacheHervorhebung"/>
        </w:rPr>
        <w:t>Sensibilisierung</w:t>
      </w:r>
      <w:r w:rsidR="001D7474" w:rsidRPr="0083231E">
        <w:rPr>
          <w:rStyle w:val="SchwacheHervorhebung"/>
        </w:rPr>
        <w:t xml:space="preserve"> der </w:t>
      </w:r>
      <w:r w:rsidRPr="0083231E">
        <w:rPr>
          <w:rStyle w:val="SchwacheHervorhebung"/>
        </w:rPr>
        <w:t>Haut:</w:t>
      </w:r>
    </w:p>
    <w:p w14:paraId="3CD626CE" w14:textId="77777777" w:rsidR="001D7474" w:rsidRPr="0083231E" w:rsidRDefault="001D7474" w:rsidP="001D7474">
      <w:pPr>
        <w:pStyle w:val="berschrift1"/>
        <w:ind w:left="1134"/>
      </w:pPr>
      <w:r w:rsidRPr="0083231E">
        <w:t>Meerschweinchen: Nicht sensibilisierend (UN GHS Einstufung: Nicht eingestuft).</w:t>
      </w:r>
    </w:p>
    <w:p w14:paraId="7E9B8878" w14:textId="77777777" w:rsidR="00284C97" w:rsidRPr="0083231E" w:rsidRDefault="00284C97" w:rsidP="00284C97">
      <w:pPr>
        <w:pStyle w:val="Zitat"/>
        <w:ind w:left="1134" w:firstLine="0"/>
        <w:rPr>
          <w:rStyle w:val="SchwacheHervorhebung"/>
        </w:rPr>
      </w:pPr>
      <w:r w:rsidRPr="0083231E">
        <w:rPr>
          <w:rStyle w:val="SchwacheHervorhebung"/>
        </w:rPr>
        <w:t>Sensibilisierung der Atemwege:</w:t>
      </w:r>
    </w:p>
    <w:p w14:paraId="2FCF696B" w14:textId="77777777" w:rsidR="00284C97" w:rsidRPr="0083231E" w:rsidRDefault="00284C97" w:rsidP="00284C97">
      <w:pPr>
        <w:pStyle w:val="berschrift1"/>
        <w:ind w:left="1134"/>
      </w:pPr>
      <w:r w:rsidRPr="0083231E">
        <w:t xml:space="preserve">Keine Daten verfügbar. </w:t>
      </w:r>
    </w:p>
    <w:p w14:paraId="430BF13B" w14:textId="77777777" w:rsidR="002E2809" w:rsidRPr="0083231E" w:rsidRDefault="002E2809" w:rsidP="002E2809">
      <w:pPr>
        <w:pStyle w:val="Zitat"/>
        <w:ind w:left="1134" w:firstLine="0"/>
        <w:rPr>
          <w:rStyle w:val="SchwacheHervorhebung"/>
        </w:rPr>
      </w:pPr>
      <w:r w:rsidRPr="0083231E">
        <w:rPr>
          <w:rStyle w:val="SchwacheHervorhebung"/>
        </w:rPr>
        <w:t>Keimzell-Mutagenität:</w:t>
      </w:r>
    </w:p>
    <w:p w14:paraId="3C324996" w14:textId="77777777" w:rsidR="002E2809" w:rsidRPr="0083231E" w:rsidRDefault="00284C97" w:rsidP="002E2809">
      <w:pPr>
        <w:pStyle w:val="berschrift1"/>
        <w:ind w:left="1134"/>
      </w:pPr>
      <w:r w:rsidRPr="0083231E">
        <w:t>In vitro: Nicht mutagen (UN GHS Einstufung: Nicht eingestuft).</w:t>
      </w:r>
    </w:p>
    <w:p w14:paraId="703DE192" w14:textId="77777777" w:rsidR="002E2809" w:rsidRPr="0083231E" w:rsidRDefault="002E2809" w:rsidP="002E2809">
      <w:pPr>
        <w:pStyle w:val="Zitat"/>
        <w:ind w:left="1134" w:firstLine="0"/>
        <w:rPr>
          <w:rStyle w:val="SchwacheHervorhebung"/>
        </w:rPr>
      </w:pPr>
      <w:proofErr w:type="spellStart"/>
      <w:r w:rsidRPr="0083231E">
        <w:rPr>
          <w:rStyle w:val="SchwacheHervorhebung"/>
        </w:rPr>
        <w:t>Karzinogenität</w:t>
      </w:r>
      <w:proofErr w:type="spellEnd"/>
      <w:r w:rsidRPr="0083231E">
        <w:rPr>
          <w:rStyle w:val="SchwacheHervorhebung"/>
        </w:rPr>
        <w:t>:</w:t>
      </w:r>
    </w:p>
    <w:p w14:paraId="11039554" w14:textId="77777777" w:rsidR="004850DD" w:rsidRPr="0083231E" w:rsidRDefault="002E2809" w:rsidP="008310C3">
      <w:pPr>
        <w:pStyle w:val="berschrift1"/>
        <w:ind w:left="1134"/>
      </w:pPr>
      <w:r w:rsidRPr="0083231E">
        <w:t>Keine Daten verfügbar.</w:t>
      </w:r>
    </w:p>
    <w:p w14:paraId="51847196" w14:textId="77777777" w:rsidR="002E2809" w:rsidRPr="0083231E" w:rsidRDefault="002E2809" w:rsidP="002E2809">
      <w:pPr>
        <w:pStyle w:val="Zitat"/>
        <w:ind w:left="1134" w:firstLine="0"/>
        <w:rPr>
          <w:rStyle w:val="SchwacheHervorhebung"/>
        </w:rPr>
      </w:pPr>
      <w:r w:rsidRPr="0083231E">
        <w:rPr>
          <w:rStyle w:val="SchwacheHervorhebung"/>
        </w:rPr>
        <w:t>Reproduktionstoxizität:</w:t>
      </w:r>
    </w:p>
    <w:p w14:paraId="61065890" w14:textId="77777777" w:rsidR="00DC25A2" w:rsidRPr="0083231E" w:rsidRDefault="00284C97" w:rsidP="00EC3655">
      <w:pPr>
        <w:pStyle w:val="berschrift1"/>
        <w:ind w:left="1134"/>
        <w:rPr>
          <w:rStyle w:val="Hervorhebung"/>
        </w:rPr>
      </w:pPr>
      <w:r w:rsidRPr="0083231E">
        <w:rPr>
          <w:rStyle w:val="Hervorhebung"/>
        </w:rPr>
        <w:t xml:space="preserve">NOAEL </w:t>
      </w:r>
      <w:r w:rsidR="00DC25A2" w:rsidRPr="0083231E">
        <w:rPr>
          <w:rStyle w:val="Hervorhebung"/>
        </w:rPr>
        <w:t>(O</w:t>
      </w:r>
      <w:r w:rsidRPr="0083231E">
        <w:rPr>
          <w:rStyle w:val="Hervorhebung"/>
        </w:rPr>
        <w:t>ral</w:t>
      </w:r>
      <w:r w:rsidR="00DC25A2" w:rsidRPr="0083231E">
        <w:rPr>
          <w:rStyle w:val="Hervorhebung"/>
        </w:rPr>
        <w:t xml:space="preserve">, </w:t>
      </w:r>
      <w:r w:rsidRPr="0083231E">
        <w:rPr>
          <w:rStyle w:val="Hervorhebung"/>
        </w:rPr>
        <w:t>Ratte, 28 Tage): 1000 mg/kg</w:t>
      </w:r>
      <w:r w:rsidR="00DC25A2" w:rsidRPr="0083231E">
        <w:rPr>
          <w:rStyle w:val="Hervorhebung"/>
        </w:rPr>
        <w:t>.</w:t>
      </w:r>
      <w:r w:rsidRPr="0083231E">
        <w:rPr>
          <w:rStyle w:val="Hervorhebung"/>
        </w:rPr>
        <w:t xml:space="preserve"> </w:t>
      </w:r>
      <w:r w:rsidR="00DC25A2" w:rsidRPr="0083231E">
        <w:rPr>
          <w:rStyle w:val="Hervorhebung"/>
        </w:rPr>
        <w:t xml:space="preserve">Wert: </w:t>
      </w:r>
      <w:r w:rsidRPr="0083231E">
        <w:rPr>
          <w:rStyle w:val="Hervorhebung"/>
        </w:rPr>
        <w:t>Nicht toxisch bzgl. Reproduktion und / oder Entwicklung.</w:t>
      </w:r>
    </w:p>
    <w:p w14:paraId="4B807AAE" w14:textId="77777777" w:rsidR="00284C97" w:rsidRPr="0083231E" w:rsidRDefault="00DC25A2" w:rsidP="00EC3655">
      <w:pPr>
        <w:pStyle w:val="berschrift1"/>
        <w:ind w:left="1129" w:firstLine="5"/>
        <w:rPr>
          <w:rStyle w:val="Hervorhebung"/>
        </w:rPr>
      </w:pPr>
      <w:r w:rsidRPr="0083231E">
        <w:rPr>
          <w:rStyle w:val="Hervorhebung"/>
        </w:rPr>
        <w:t>NOAEL (Inhalation, Ratte): 3000 ppm. Wert: Nicht toxisch bzgl. Reproduktion und / oder Entwicklung.</w:t>
      </w:r>
    </w:p>
    <w:p w14:paraId="1AEF5468" w14:textId="77777777" w:rsidR="002E2809" w:rsidRPr="0083231E" w:rsidRDefault="002E2809" w:rsidP="002E2809">
      <w:pPr>
        <w:pStyle w:val="Zitat"/>
        <w:ind w:left="1134" w:firstLine="0"/>
        <w:rPr>
          <w:rStyle w:val="SchwacheHervorhebung"/>
        </w:rPr>
      </w:pPr>
      <w:r w:rsidRPr="0083231E">
        <w:rPr>
          <w:rStyle w:val="SchwacheHervorhebung"/>
        </w:rPr>
        <w:t>Spezifische Zielorgan-Toxizität - einmalige Exposition:</w:t>
      </w:r>
    </w:p>
    <w:p w14:paraId="6A85E289" w14:textId="77777777" w:rsidR="00DD33E0" w:rsidRPr="0083231E" w:rsidRDefault="00DD33E0" w:rsidP="00EC3655">
      <w:pPr>
        <w:pStyle w:val="berschrift1"/>
        <w:ind w:left="1134"/>
        <w:rPr>
          <w:rStyle w:val="Hervorhebung"/>
        </w:rPr>
      </w:pPr>
      <w:r w:rsidRPr="0083231E">
        <w:rPr>
          <w:rStyle w:val="Hervorhebung"/>
        </w:rPr>
        <w:t>NOAEL (Inhalation, Herz, Hund): 55,4 mg/L. Wert: Die vorliegenden Daten reichen für eine Einstufung nicht aus (UN GHS Einstufung: Nicht eingestuft).</w:t>
      </w:r>
    </w:p>
    <w:p w14:paraId="2D5089EC" w14:textId="77777777" w:rsidR="00DD33E0" w:rsidRPr="0083231E" w:rsidRDefault="00DD33E0" w:rsidP="00EC3655">
      <w:pPr>
        <w:pStyle w:val="berschrift1"/>
        <w:ind w:left="1134"/>
        <w:rPr>
          <w:rStyle w:val="Hervorhebung"/>
        </w:rPr>
      </w:pPr>
      <w:r w:rsidRPr="0083231E">
        <w:rPr>
          <w:rStyle w:val="Hervorhebung"/>
        </w:rPr>
        <w:t>NOAEL (</w:t>
      </w:r>
      <w:r w:rsidR="004850DD" w:rsidRPr="0083231E">
        <w:rPr>
          <w:rStyle w:val="Hervorhebung"/>
        </w:rPr>
        <w:t xml:space="preserve">Inhalation, </w:t>
      </w:r>
      <w:r w:rsidRPr="0083231E">
        <w:rPr>
          <w:rStyle w:val="Hervorhebung"/>
        </w:rPr>
        <w:t xml:space="preserve">Reizung der Atemwege, Ratte, </w:t>
      </w:r>
      <w:r w:rsidR="004850DD" w:rsidRPr="0083231E">
        <w:rPr>
          <w:rStyle w:val="Hervorhebung"/>
        </w:rPr>
        <w:t>28 Tage</w:t>
      </w:r>
      <w:r w:rsidRPr="0083231E">
        <w:rPr>
          <w:rStyle w:val="Hervorhebung"/>
        </w:rPr>
        <w:t xml:space="preserve">): </w:t>
      </w:r>
      <w:r w:rsidR="004850DD" w:rsidRPr="0083231E">
        <w:rPr>
          <w:rStyle w:val="Hervorhebung"/>
        </w:rPr>
        <w:t>Reizung Positiv</w:t>
      </w:r>
      <w:r w:rsidRPr="0083231E">
        <w:rPr>
          <w:rStyle w:val="Hervorhebung"/>
        </w:rPr>
        <w:t>. Wert: Die vorliegenden Daten reichen für eine Einstufung nicht aus (UN GHS Einstufung: Nicht eingestuft).</w:t>
      </w:r>
    </w:p>
    <w:p w14:paraId="05C7E8A5" w14:textId="77777777" w:rsidR="002E2809" w:rsidRPr="0083231E" w:rsidRDefault="002E2809" w:rsidP="002E2809">
      <w:pPr>
        <w:pStyle w:val="Zitat"/>
        <w:ind w:left="1134" w:firstLine="0"/>
        <w:rPr>
          <w:rStyle w:val="SchwacheHervorhebung"/>
        </w:rPr>
      </w:pPr>
      <w:r w:rsidRPr="0083231E">
        <w:rPr>
          <w:rStyle w:val="SchwacheHervorhebung"/>
        </w:rPr>
        <w:t>Spezifische Zielorgan-Toxizität - wiederholte Exposition:</w:t>
      </w:r>
    </w:p>
    <w:p w14:paraId="6134C779" w14:textId="77777777" w:rsidR="004850DD" w:rsidRPr="0083231E" w:rsidRDefault="004850DD" w:rsidP="00EC3655">
      <w:pPr>
        <w:pStyle w:val="berschrift1"/>
        <w:ind w:left="1134"/>
        <w:rPr>
          <w:rStyle w:val="Hervorhebung"/>
        </w:rPr>
      </w:pPr>
      <w:r w:rsidRPr="0083231E">
        <w:rPr>
          <w:rStyle w:val="Hervorhebung"/>
        </w:rPr>
        <w:t xml:space="preserve">NOAEL (Inhalation, Leber, Ratte, 28 Tage): </w:t>
      </w:r>
      <w:r w:rsidR="00065A00" w:rsidRPr="0083231E">
        <w:rPr>
          <w:rStyle w:val="Hervorhebung"/>
        </w:rPr>
        <w:t>1</w:t>
      </w:r>
      <w:r w:rsidRPr="0083231E">
        <w:rPr>
          <w:rStyle w:val="Hervorhebung"/>
        </w:rPr>
        <w:t>066 ppm. Wert: Die vorliegenden Daten reichen für eine Einstufung nicht aus (UN GHS Einstufung: Nicht eingestuft).</w:t>
      </w:r>
    </w:p>
    <w:p w14:paraId="40D55C60" w14:textId="77777777" w:rsidR="004850DD" w:rsidRPr="0083231E" w:rsidRDefault="004850DD" w:rsidP="00EC3655">
      <w:pPr>
        <w:pStyle w:val="berschrift1"/>
        <w:ind w:left="1134"/>
        <w:rPr>
          <w:rStyle w:val="Hervorhebung"/>
        </w:rPr>
      </w:pPr>
      <w:r w:rsidRPr="0083231E">
        <w:rPr>
          <w:rStyle w:val="Hervorhebung"/>
        </w:rPr>
        <w:t xml:space="preserve">NOAEL (Inhalation, Nervensystem, Ratte, 28 Tage): </w:t>
      </w:r>
      <w:r w:rsidR="00065A00" w:rsidRPr="0083231E">
        <w:rPr>
          <w:rStyle w:val="Hervorhebung"/>
        </w:rPr>
        <w:t>8</w:t>
      </w:r>
      <w:r w:rsidRPr="0083231E">
        <w:rPr>
          <w:rStyle w:val="Hervorhebung"/>
        </w:rPr>
        <w:t>844 ppm. Wert: Die vorliegenden Daten reichen für eine Einstufung nicht aus (UN GHS Einstufung: Nicht eingestuft).</w:t>
      </w:r>
    </w:p>
    <w:p w14:paraId="5445AC89" w14:textId="77777777" w:rsidR="004850DD" w:rsidRPr="0083231E" w:rsidRDefault="004850DD" w:rsidP="00EC3655">
      <w:pPr>
        <w:pStyle w:val="berschrift1"/>
        <w:ind w:left="1134"/>
        <w:rPr>
          <w:rStyle w:val="Hervorhebung"/>
        </w:rPr>
      </w:pPr>
      <w:r w:rsidRPr="0083231E">
        <w:rPr>
          <w:rStyle w:val="Hervorhebung"/>
        </w:rPr>
        <w:t xml:space="preserve">NOAEL (Inhalation, Niere und/oder Blase, Ratte, 28 Tage): </w:t>
      </w:r>
      <w:r w:rsidR="00065A00" w:rsidRPr="0083231E">
        <w:rPr>
          <w:rStyle w:val="Hervorhebung"/>
        </w:rPr>
        <w:t>3</w:t>
      </w:r>
      <w:r w:rsidRPr="0083231E">
        <w:rPr>
          <w:rStyle w:val="Hervorhebung"/>
        </w:rPr>
        <w:t>006 ppm. Wert: Die vorliegenden Daten reichen für eine Einstufung nicht aus (UN GHS Einstufung: Nicht eingestuft).</w:t>
      </w:r>
    </w:p>
    <w:p w14:paraId="0FF8DF8F" w14:textId="77777777" w:rsidR="004850DD" w:rsidRPr="0083231E" w:rsidRDefault="004850DD" w:rsidP="00EC3655">
      <w:pPr>
        <w:pStyle w:val="berschrift1"/>
        <w:ind w:left="1134"/>
        <w:rPr>
          <w:rStyle w:val="Hervorhebung"/>
        </w:rPr>
      </w:pPr>
      <w:r w:rsidRPr="0083231E">
        <w:rPr>
          <w:rStyle w:val="Hervorhebung"/>
        </w:rPr>
        <w:t xml:space="preserve">NOAEL (Inhalation, Herz, Ratte, 28 Tage): </w:t>
      </w:r>
      <w:r w:rsidR="00065A00" w:rsidRPr="0083231E">
        <w:rPr>
          <w:rStyle w:val="Hervorhebung"/>
        </w:rPr>
        <w:t>25</w:t>
      </w:r>
      <w:r w:rsidRPr="0083231E">
        <w:rPr>
          <w:rStyle w:val="Hervorhebung"/>
        </w:rPr>
        <w:t>386 ppm. Wert: Alle Daten sind negativ (UN GHS Einstufung: Nicht eingestuft).</w:t>
      </w:r>
    </w:p>
    <w:p w14:paraId="59A537FB" w14:textId="77777777" w:rsidR="00E3159F" w:rsidRPr="0083231E" w:rsidRDefault="00E3159F" w:rsidP="00EC3655">
      <w:pPr>
        <w:pStyle w:val="berschrift1"/>
        <w:ind w:left="1134"/>
        <w:rPr>
          <w:rStyle w:val="Hervorhebung"/>
        </w:rPr>
      </w:pPr>
      <w:r w:rsidRPr="0083231E">
        <w:rPr>
          <w:rStyle w:val="Hervorhebung"/>
        </w:rPr>
        <w:t xml:space="preserve">NOAEL (Inhalation, Blutbildendes System, Ratte, 28 Tage): </w:t>
      </w:r>
      <w:r w:rsidR="00065A00" w:rsidRPr="0083231E">
        <w:rPr>
          <w:rStyle w:val="Hervorhebung"/>
        </w:rPr>
        <w:t>24</w:t>
      </w:r>
      <w:r w:rsidRPr="0083231E">
        <w:rPr>
          <w:rStyle w:val="Hervorhebung"/>
        </w:rPr>
        <w:t>386 ppm. Wert: Alle Daten sind negativ (UN GHS Einstufung: Nicht eingestuft).</w:t>
      </w:r>
    </w:p>
    <w:p w14:paraId="32617984" w14:textId="77777777" w:rsidR="00E3159F" w:rsidRPr="0083231E" w:rsidRDefault="00E3159F" w:rsidP="00EC3655">
      <w:pPr>
        <w:pStyle w:val="berschrift1"/>
        <w:ind w:left="1134"/>
        <w:rPr>
          <w:rStyle w:val="Hervorhebung"/>
        </w:rPr>
      </w:pPr>
      <w:r w:rsidRPr="00C24929">
        <w:rPr>
          <w:rStyle w:val="Hervorhebung"/>
          <w:lang w:val="de-DE"/>
        </w:rPr>
        <w:t xml:space="preserve">NOAEL (Oral, Blut, Ratte, 28 Tage): 200 mg/kg. </w:t>
      </w:r>
      <w:r w:rsidRPr="0083231E">
        <w:rPr>
          <w:rStyle w:val="Hervorhebung"/>
        </w:rPr>
        <w:t>Wert: Die vorliegenden Daten reichen für eine Einstufung nicht aus (UN GHS Einstufung: Nicht eingestuft).</w:t>
      </w:r>
    </w:p>
    <w:p w14:paraId="607F94EB" w14:textId="77777777" w:rsidR="00E3159F" w:rsidRPr="0083231E" w:rsidRDefault="00E3159F" w:rsidP="00EC3655">
      <w:pPr>
        <w:pStyle w:val="berschrift1"/>
        <w:ind w:left="1134"/>
        <w:rPr>
          <w:rStyle w:val="Hervorhebung"/>
        </w:rPr>
      </w:pPr>
      <w:r w:rsidRPr="0083231E">
        <w:rPr>
          <w:rStyle w:val="Hervorhebung"/>
        </w:rPr>
        <w:lastRenderedPageBreak/>
        <w:t>NOAEL (Oral, Leber, Ratte, 28 Tage): 40 mg/kg. Wert: Die vorliegenden Daten reichen für eine Einstufung nicht aus (UN GHS Einstufung: Nicht eingestuft).</w:t>
      </w:r>
    </w:p>
    <w:p w14:paraId="1980DEA7" w14:textId="77777777" w:rsidR="00E3159F" w:rsidRPr="0083231E" w:rsidRDefault="00E3159F" w:rsidP="00EC3655">
      <w:pPr>
        <w:pStyle w:val="berschrift1"/>
        <w:ind w:left="1134"/>
        <w:rPr>
          <w:rStyle w:val="Hervorhebung"/>
        </w:rPr>
      </w:pPr>
      <w:r w:rsidRPr="0083231E">
        <w:rPr>
          <w:rStyle w:val="Hervorhebung"/>
        </w:rPr>
        <w:t>NOAEL (Oral, Niere und/oder Blase, Ratte, 28 Tage): 200 mg/kg. Wert: Die vorliegenden Daten reichen für eine Einstufung nicht aus (UN GHS Einstufung: Nicht eingestuft).</w:t>
      </w:r>
    </w:p>
    <w:p w14:paraId="7FEA79FE" w14:textId="77777777" w:rsidR="00E3159F" w:rsidRPr="0083231E" w:rsidRDefault="00E3159F" w:rsidP="00EC3655">
      <w:pPr>
        <w:pStyle w:val="berschrift1"/>
        <w:ind w:left="1134"/>
        <w:rPr>
          <w:rStyle w:val="Hervorhebung"/>
        </w:rPr>
      </w:pPr>
      <w:r w:rsidRPr="0083231E">
        <w:rPr>
          <w:rStyle w:val="Hervorhebung"/>
        </w:rPr>
        <w:t xml:space="preserve">NOAEL (Oral, Hormonsystem/Blutbildendes System/Immunsystem/Nervensystem, Ratte, 28 Tage): </w:t>
      </w:r>
      <w:r w:rsidR="00065A00" w:rsidRPr="0083231E">
        <w:rPr>
          <w:rStyle w:val="Hervorhebung"/>
        </w:rPr>
        <w:t>1</w:t>
      </w:r>
      <w:r w:rsidRPr="0083231E">
        <w:rPr>
          <w:rStyle w:val="Hervorhebung"/>
        </w:rPr>
        <w:t>000 mg/kg. Wert: Alle Daten sind negativ (UN GHS Einstufung: Nicht eingestuft).</w:t>
      </w:r>
    </w:p>
    <w:p w14:paraId="6156F07E" w14:textId="77777777" w:rsidR="002E2809" w:rsidRPr="0083231E" w:rsidRDefault="002E2809" w:rsidP="002E2809">
      <w:pPr>
        <w:pStyle w:val="Zitat"/>
        <w:ind w:left="1134" w:firstLine="0"/>
        <w:rPr>
          <w:rStyle w:val="SchwacheHervorhebung"/>
        </w:rPr>
      </w:pPr>
      <w:r w:rsidRPr="0083231E">
        <w:rPr>
          <w:rStyle w:val="SchwacheHervorhebung"/>
        </w:rPr>
        <w:t>Aspirationsgefahr:</w:t>
      </w:r>
    </w:p>
    <w:p w14:paraId="5F550F47" w14:textId="77777777" w:rsidR="002E2809" w:rsidRPr="0083231E" w:rsidRDefault="00065A00" w:rsidP="00EC3655">
      <w:pPr>
        <w:pStyle w:val="berschrift1"/>
        <w:ind w:left="1134"/>
        <w:rPr>
          <w:rStyle w:val="Hervorhebung"/>
        </w:rPr>
      </w:pPr>
      <w:r w:rsidRPr="0083231E">
        <w:rPr>
          <w:rStyle w:val="Hervorhebung"/>
        </w:rPr>
        <w:t>Keine Gefahr der Aspiration (UN GHS Einstufung: Nicht eingestuft)</w:t>
      </w:r>
    </w:p>
    <w:p w14:paraId="5D37FA25" w14:textId="77777777" w:rsidR="002E2809" w:rsidRPr="0083231E" w:rsidRDefault="002E23E7" w:rsidP="002E2809">
      <w:pPr>
        <w:pStyle w:val="Zitat"/>
        <w:ind w:left="1134" w:firstLine="0"/>
        <w:rPr>
          <w:rStyle w:val="SchwacheHervorhebung"/>
        </w:rPr>
      </w:pPr>
      <w:r w:rsidRPr="0083231E">
        <w:rPr>
          <w:rStyle w:val="SchwacheHervorhebung"/>
        </w:rPr>
        <w:t xml:space="preserve">Basierend auf Testdaten und / oder Informationen über die Inhaltsstoffe kann dieses Produkt die folgenden </w:t>
      </w:r>
      <w:r w:rsidR="00C446F5" w:rsidRPr="0083231E">
        <w:rPr>
          <w:rStyle w:val="SchwacheHervorhebung"/>
        </w:rPr>
        <w:t>Auswirkungen</w:t>
      </w:r>
      <w:r w:rsidRPr="0083231E">
        <w:rPr>
          <w:rStyle w:val="SchwacheHervorhebung"/>
        </w:rPr>
        <w:t xml:space="preserve"> auf die Gesundheit haben:</w:t>
      </w:r>
    </w:p>
    <w:p w14:paraId="47845819" w14:textId="77777777" w:rsidR="002E23E7" w:rsidRPr="0083231E" w:rsidRDefault="002E23E7" w:rsidP="00EC3655">
      <w:pPr>
        <w:pStyle w:val="berschrift1"/>
        <w:ind w:left="1134"/>
        <w:rPr>
          <w:rStyle w:val="Hervorhebung"/>
        </w:rPr>
      </w:pPr>
      <w:r w:rsidRPr="0083231E">
        <w:rPr>
          <w:rStyle w:val="Hervorhebung"/>
        </w:rPr>
        <w:t>Bei bestimmungsgemäßer Verwendung dieses Produktes ist bei zufälligem Augenkontakt</w:t>
      </w:r>
      <w:r w:rsidR="00AB5982" w:rsidRPr="0083231E">
        <w:rPr>
          <w:rStyle w:val="Hervorhebung"/>
        </w:rPr>
        <w:t xml:space="preserve"> / Hautkontakt</w:t>
      </w:r>
      <w:r w:rsidRPr="0083231E">
        <w:rPr>
          <w:rStyle w:val="Hervorhebung"/>
        </w:rPr>
        <w:t xml:space="preserve"> keine signifikante Augenreizung</w:t>
      </w:r>
      <w:r w:rsidR="00AB5982" w:rsidRPr="0083231E">
        <w:rPr>
          <w:rStyle w:val="Hervorhebung"/>
        </w:rPr>
        <w:t xml:space="preserve"> bzw. Hautreizung</w:t>
      </w:r>
      <w:r w:rsidRPr="0083231E">
        <w:rPr>
          <w:rStyle w:val="Hervorhebung"/>
        </w:rPr>
        <w:t xml:space="preserve"> zu erwarten. </w:t>
      </w:r>
    </w:p>
    <w:p w14:paraId="3B349E2F" w14:textId="77777777" w:rsidR="002E23E7" w:rsidRPr="0083231E" w:rsidRDefault="002E23E7" w:rsidP="00EC3655">
      <w:pPr>
        <w:pStyle w:val="berschrift1"/>
        <w:ind w:left="1134"/>
        <w:rPr>
          <w:rStyle w:val="Hervorhebung"/>
        </w:rPr>
      </w:pPr>
      <w:r w:rsidRPr="0083231E">
        <w:rPr>
          <w:rStyle w:val="Hervorhebung"/>
        </w:rPr>
        <w:t xml:space="preserve">Von einer Exposition durch Inhalation werden keine negativen gesundheitlichen Auswirkungen erwartet. </w:t>
      </w:r>
    </w:p>
    <w:p w14:paraId="6CA54883" w14:textId="77777777" w:rsidR="002E23E7" w:rsidRPr="0083231E" w:rsidRDefault="00AB5982" w:rsidP="00EC3655">
      <w:pPr>
        <w:pStyle w:val="berschrift1"/>
        <w:ind w:left="1134"/>
        <w:rPr>
          <w:rStyle w:val="Hervorhebung"/>
        </w:rPr>
      </w:pPr>
      <w:r w:rsidRPr="0083231E">
        <w:rPr>
          <w:rStyle w:val="Hervorhebung"/>
        </w:rPr>
        <w:t>Kann bei Verschlucken gesundheitsschädlich sein.</w:t>
      </w:r>
    </w:p>
    <w:p w14:paraId="1BDBC8D2" w14:textId="77777777" w:rsidR="001D7474" w:rsidRPr="0083231E" w:rsidRDefault="001D7474" w:rsidP="001D7474">
      <w:pPr>
        <w:pStyle w:val="Untertitel"/>
      </w:pPr>
      <w:r w:rsidRPr="0083231E">
        <w:t xml:space="preserve">Substanz 3: </w:t>
      </w:r>
      <w:proofErr w:type="spellStart"/>
      <w:r w:rsidRPr="0083231E">
        <w:t>Ethylnonafluorbutylether</w:t>
      </w:r>
      <w:proofErr w:type="spellEnd"/>
    </w:p>
    <w:p w14:paraId="59B3E43F" w14:textId="77777777" w:rsidR="001D7474" w:rsidRPr="0083231E" w:rsidRDefault="001D7474" w:rsidP="001D7474">
      <w:pPr>
        <w:pStyle w:val="Zitat"/>
        <w:ind w:left="1134" w:firstLine="0"/>
        <w:rPr>
          <w:rStyle w:val="SchwacheHervorhebung"/>
        </w:rPr>
      </w:pPr>
      <w:r w:rsidRPr="0083231E">
        <w:rPr>
          <w:rStyle w:val="SchwacheHervorhebung"/>
        </w:rPr>
        <w:t>Akute Toxizität:</w:t>
      </w:r>
    </w:p>
    <w:p w14:paraId="65483B6C" w14:textId="77777777" w:rsidR="001D7474" w:rsidRPr="0083231E" w:rsidRDefault="001D7474" w:rsidP="001D7474">
      <w:pPr>
        <w:pStyle w:val="berschrift1"/>
        <w:ind w:left="1134" w:right="107"/>
        <w:jc w:val="left"/>
      </w:pPr>
      <w:r w:rsidRPr="0083231E">
        <w:t>LD</w:t>
      </w:r>
      <w:r w:rsidRPr="0083231E">
        <w:rPr>
          <w:vertAlign w:val="subscript"/>
        </w:rPr>
        <w:t>50</w:t>
      </w:r>
      <w:r w:rsidRPr="0083231E">
        <w:t xml:space="preserve"> Oral (Ratte): &gt; 2000 mg/kg (UN GHS Einstufung: Kategorie 5) </w:t>
      </w:r>
      <w:r w:rsidRPr="0083231E">
        <w:br/>
        <w:t>LC</w:t>
      </w:r>
      <w:r w:rsidRPr="0083231E">
        <w:rPr>
          <w:vertAlign w:val="subscript"/>
        </w:rPr>
        <w:t>50</w:t>
      </w:r>
      <w:r w:rsidRPr="0083231E">
        <w:t xml:space="preserve"> Inhalation (Dampf, </w:t>
      </w:r>
      <w:r w:rsidR="00AB5982" w:rsidRPr="0083231E">
        <w:t>Ratte):</w:t>
      </w:r>
      <w:r w:rsidRPr="0083231E">
        <w:t xml:space="preserve"> 1000 mg/L (UN GHS Einstufung: Nicht eingestuft)</w:t>
      </w:r>
    </w:p>
    <w:p w14:paraId="1F1C85B6" w14:textId="77777777" w:rsidR="001D7474" w:rsidRPr="0083231E" w:rsidRDefault="001D7474" w:rsidP="001D7474">
      <w:pPr>
        <w:pStyle w:val="Zitat"/>
        <w:ind w:left="1134" w:firstLine="0"/>
        <w:rPr>
          <w:rStyle w:val="SchwacheHervorhebung"/>
          <w:rFonts w:eastAsia="Arial Unicode MS"/>
        </w:rPr>
      </w:pPr>
      <w:r w:rsidRPr="0083231E">
        <w:rPr>
          <w:rStyle w:val="SchwacheHervorhebung"/>
          <w:rFonts w:eastAsia="Arial Unicode MS"/>
        </w:rPr>
        <w:t>Ätz-/Reizwirkung auf die Haut:</w:t>
      </w:r>
    </w:p>
    <w:p w14:paraId="24426B0A" w14:textId="77777777" w:rsidR="001D7474" w:rsidRPr="0083231E" w:rsidRDefault="001D7474" w:rsidP="001D7474">
      <w:pPr>
        <w:pStyle w:val="berschrift1"/>
        <w:ind w:left="1134"/>
      </w:pPr>
      <w:r w:rsidRPr="0083231E">
        <w:t>Kaninchen: Keine signifikante Reizung (UN GHS Einstufung: Nicht eingestuft)</w:t>
      </w:r>
    </w:p>
    <w:p w14:paraId="231122E5" w14:textId="77777777" w:rsidR="001D7474" w:rsidRPr="0083231E" w:rsidRDefault="001D7474" w:rsidP="001D7474">
      <w:pPr>
        <w:pStyle w:val="Zitat"/>
        <w:ind w:left="1134" w:firstLine="0"/>
        <w:rPr>
          <w:rStyle w:val="SchwacheHervorhebung"/>
        </w:rPr>
      </w:pPr>
      <w:r w:rsidRPr="0083231E">
        <w:rPr>
          <w:rStyle w:val="SchwacheHervorhebung"/>
        </w:rPr>
        <w:t>Schwere Augenschädigung/-reizung:</w:t>
      </w:r>
    </w:p>
    <w:p w14:paraId="637470DF" w14:textId="77777777" w:rsidR="001D7474" w:rsidRPr="0083231E" w:rsidRDefault="001D7474" w:rsidP="001D7474">
      <w:pPr>
        <w:pStyle w:val="berschrift1"/>
        <w:ind w:left="1134"/>
      </w:pPr>
      <w:r w:rsidRPr="0083231E">
        <w:t>Kaninchen: Leicht reizend (UN GHS Einstufung: Nicht eingestuft).</w:t>
      </w:r>
    </w:p>
    <w:p w14:paraId="051B185F" w14:textId="77777777" w:rsidR="00284C97" w:rsidRPr="0083231E" w:rsidRDefault="00284C97" w:rsidP="00284C97">
      <w:pPr>
        <w:pStyle w:val="Zitat"/>
        <w:ind w:left="1134" w:firstLine="0"/>
        <w:rPr>
          <w:rStyle w:val="SchwacheHervorhebung"/>
        </w:rPr>
      </w:pPr>
      <w:r w:rsidRPr="0083231E">
        <w:rPr>
          <w:rStyle w:val="SchwacheHervorhebung"/>
        </w:rPr>
        <w:t>Sensibilisierung der Haut:</w:t>
      </w:r>
    </w:p>
    <w:p w14:paraId="7B82A390" w14:textId="77777777" w:rsidR="00284C97" w:rsidRPr="0083231E" w:rsidRDefault="00284C97" w:rsidP="00284C97">
      <w:pPr>
        <w:pStyle w:val="berschrift1"/>
        <w:ind w:left="1134"/>
      </w:pPr>
      <w:r w:rsidRPr="0083231E">
        <w:t>Meerschweinchen: Nicht sensibilisierend (UN GHS Einstufung: Nicht eingestuft).</w:t>
      </w:r>
    </w:p>
    <w:p w14:paraId="5DC9CE36" w14:textId="77777777" w:rsidR="00284C97" w:rsidRPr="0083231E" w:rsidRDefault="00284C97" w:rsidP="00284C97">
      <w:pPr>
        <w:pStyle w:val="Zitat"/>
        <w:ind w:left="1134" w:firstLine="0"/>
        <w:rPr>
          <w:rStyle w:val="SchwacheHervorhebung"/>
        </w:rPr>
      </w:pPr>
      <w:r w:rsidRPr="0083231E">
        <w:rPr>
          <w:rStyle w:val="SchwacheHervorhebung"/>
        </w:rPr>
        <w:t>Sensibilisierung der Atemwege:</w:t>
      </w:r>
    </w:p>
    <w:p w14:paraId="21F8D40C" w14:textId="77777777" w:rsidR="00284C97" w:rsidRPr="0083231E" w:rsidRDefault="00284C97" w:rsidP="00284C97">
      <w:pPr>
        <w:pStyle w:val="berschrift1"/>
        <w:ind w:left="1134"/>
      </w:pPr>
      <w:r w:rsidRPr="0083231E">
        <w:t xml:space="preserve">Keine Daten verfügbar. </w:t>
      </w:r>
    </w:p>
    <w:p w14:paraId="61EB8F72" w14:textId="77777777" w:rsidR="00284C97" w:rsidRPr="0083231E" w:rsidRDefault="00284C97" w:rsidP="00EC3655">
      <w:pPr>
        <w:pStyle w:val="Zitat"/>
        <w:ind w:left="1134" w:firstLine="0"/>
        <w:rPr>
          <w:rStyle w:val="SchwacheHervorhebung"/>
        </w:rPr>
      </w:pPr>
      <w:r w:rsidRPr="0083231E">
        <w:rPr>
          <w:rStyle w:val="SchwacheHervorhebung"/>
        </w:rPr>
        <w:t>Keimzell-Mutagenität:</w:t>
      </w:r>
    </w:p>
    <w:p w14:paraId="24EB065F" w14:textId="77777777" w:rsidR="00284C97" w:rsidRPr="0083231E" w:rsidRDefault="00284C97" w:rsidP="00284C97">
      <w:pPr>
        <w:pStyle w:val="berschrift1"/>
        <w:ind w:left="1134"/>
      </w:pPr>
      <w:r w:rsidRPr="0083231E">
        <w:t>In vitro: Nicht mutagen (UN GHS Einstufung: Nicht eingestuft).</w:t>
      </w:r>
    </w:p>
    <w:p w14:paraId="67602AF3" w14:textId="77777777" w:rsidR="001D7474" w:rsidRPr="0083231E" w:rsidRDefault="001D7474" w:rsidP="00EC3655">
      <w:pPr>
        <w:pStyle w:val="Zitat"/>
        <w:ind w:left="1134" w:firstLine="0"/>
        <w:rPr>
          <w:rStyle w:val="SchwacheHervorhebung"/>
        </w:rPr>
      </w:pPr>
      <w:proofErr w:type="spellStart"/>
      <w:r w:rsidRPr="0083231E">
        <w:rPr>
          <w:rStyle w:val="SchwacheHervorhebung"/>
        </w:rPr>
        <w:t>Karzinogenität</w:t>
      </w:r>
      <w:proofErr w:type="spellEnd"/>
      <w:r w:rsidRPr="0083231E">
        <w:rPr>
          <w:rStyle w:val="SchwacheHervorhebung"/>
        </w:rPr>
        <w:t>:</w:t>
      </w:r>
    </w:p>
    <w:p w14:paraId="6F5C8E35" w14:textId="77777777" w:rsidR="001D7474" w:rsidRPr="0083231E" w:rsidRDefault="001D7474" w:rsidP="001D7474">
      <w:pPr>
        <w:pStyle w:val="berschrift1"/>
        <w:ind w:left="1134"/>
      </w:pPr>
      <w:r w:rsidRPr="0083231E">
        <w:t>Keine Daten verfügbar.</w:t>
      </w:r>
    </w:p>
    <w:p w14:paraId="4CC8709A" w14:textId="77777777" w:rsidR="00DC25A2" w:rsidRPr="0083231E" w:rsidRDefault="00DC25A2" w:rsidP="00EC3655">
      <w:pPr>
        <w:pStyle w:val="Zitat"/>
        <w:ind w:left="1134" w:firstLine="0"/>
        <w:rPr>
          <w:rStyle w:val="SchwacheHervorhebung"/>
        </w:rPr>
      </w:pPr>
      <w:r w:rsidRPr="0083231E">
        <w:rPr>
          <w:rStyle w:val="SchwacheHervorhebung"/>
        </w:rPr>
        <w:t>Reproduktionstoxizität:</w:t>
      </w:r>
    </w:p>
    <w:p w14:paraId="4094ACC5" w14:textId="77777777" w:rsidR="00DC25A2" w:rsidRPr="0083231E" w:rsidRDefault="00DC25A2" w:rsidP="00EC3655">
      <w:pPr>
        <w:pStyle w:val="berschrift1"/>
        <w:ind w:left="1134"/>
      </w:pPr>
      <w:r w:rsidRPr="0083231E">
        <w:t>NOAEL (Oral, Ratte, 28 Tage): 1000 mg/kg. Wert: Nicht toxisch bzgl. Reproduktion und / oder Entwicklung.</w:t>
      </w:r>
    </w:p>
    <w:p w14:paraId="22B4DFD4" w14:textId="77777777" w:rsidR="00DC25A2" w:rsidRPr="0083231E" w:rsidRDefault="00DC25A2" w:rsidP="00EC3655">
      <w:pPr>
        <w:pStyle w:val="berschrift1"/>
        <w:ind w:left="1134"/>
      </w:pPr>
      <w:r w:rsidRPr="0083231E">
        <w:t>NOAEL (Inhalation, Ratte): 3000 ppm. Wert: Nicht toxisch bzgl. Reproduktion und / oder Entwicklung.</w:t>
      </w:r>
    </w:p>
    <w:p w14:paraId="0FFB8ED3" w14:textId="77777777" w:rsidR="001D7474" w:rsidRPr="0083231E" w:rsidRDefault="001D7474" w:rsidP="00EC3655">
      <w:pPr>
        <w:pStyle w:val="Zitat"/>
        <w:ind w:left="1134" w:firstLine="0"/>
        <w:rPr>
          <w:rStyle w:val="SchwacheHervorhebung"/>
        </w:rPr>
      </w:pPr>
      <w:r w:rsidRPr="0083231E">
        <w:rPr>
          <w:rStyle w:val="SchwacheHervorhebung"/>
        </w:rPr>
        <w:t>Spezifische Zielorgan-Toxizität - einmalige Exposition:</w:t>
      </w:r>
    </w:p>
    <w:p w14:paraId="40A30114" w14:textId="77777777" w:rsidR="004850DD" w:rsidRPr="0083231E" w:rsidRDefault="004850DD" w:rsidP="00EC3655">
      <w:pPr>
        <w:pStyle w:val="berschrift1"/>
        <w:ind w:left="1134"/>
      </w:pPr>
      <w:r w:rsidRPr="0083231E">
        <w:t>NOAEL (Inhalation, Herz, Hund): 55,4 mg/L. Wert: Die vorliegenden Daten reichen für eine Einstufung nicht aus (UN GHS Einstufung: Nicht eingestuft).</w:t>
      </w:r>
    </w:p>
    <w:p w14:paraId="486D4098" w14:textId="77777777" w:rsidR="004850DD" w:rsidRPr="0083231E" w:rsidRDefault="004850DD" w:rsidP="00EC3655">
      <w:pPr>
        <w:pStyle w:val="berschrift1"/>
        <w:ind w:left="1134"/>
      </w:pPr>
      <w:r w:rsidRPr="0083231E">
        <w:lastRenderedPageBreak/>
        <w:t>NOAEL (Inhalation, Reizung der Atemwege, Ratte, 28 Tage): Reizung Positiv. Wert: Die vorliegenden Daten reichen für eine Einstufung nicht aus (UN GHS Einstufung: Nicht eingestuft).</w:t>
      </w:r>
    </w:p>
    <w:p w14:paraId="2253E960" w14:textId="77777777" w:rsidR="00E3159F" w:rsidRPr="0083231E" w:rsidRDefault="00E3159F" w:rsidP="00EC3655">
      <w:pPr>
        <w:pStyle w:val="berschrift1"/>
        <w:ind w:left="1134"/>
      </w:pPr>
      <w:r w:rsidRPr="0083231E">
        <w:t>Spezifische Zielorgan-Toxizität - wiederholte Exposition:</w:t>
      </w:r>
    </w:p>
    <w:p w14:paraId="082CDFC5" w14:textId="77777777" w:rsidR="00E3159F" w:rsidRPr="0083231E" w:rsidRDefault="00E3159F" w:rsidP="00EC3655">
      <w:pPr>
        <w:pStyle w:val="berschrift1"/>
        <w:ind w:left="1134"/>
      </w:pPr>
      <w:r w:rsidRPr="0083231E">
        <w:t xml:space="preserve">NOAEL (Inhalation, Leber, Ratte, 28 Tage): </w:t>
      </w:r>
      <w:r w:rsidR="00AB5982" w:rsidRPr="0083231E">
        <w:t>1</w:t>
      </w:r>
      <w:r w:rsidRPr="0083231E">
        <w:t>066 ppm. Wert: Die vorliegenden Daten reichen für eine Einstufung nicht aus (UN GHS Einstufung: Nicht eingestuft).</w:t>
      </w:r>
    </w:p>
    <w:p w14:paraId="3C913E84" w14:textId="77777777" w:rsidR="00E3159F" w:rsidRPr="0083231E" w:rsidRDefault="00E3159F" w:rsidP="00EC3655">
      <w:pPr>
        <w:pStyle w:val="berschrift1"/>
        <w:ind w:left="1134"/>
      </w:pPr>
      <w:r w:rsidRPr="0083231E">
        <w:t xml:space="preserve">NOAEL (Inhalation, Nervensystem, Ratte, 28 Tage): </w:t>
      </w:r>
      <w:r w:rsidR="00AB5982" w:rsidRPr="0083231E">
        <w:t>8</w:t>
      </w:r>
      <w:r w:rsidRPr="0083231E">
        <w:t>844 ppm. Wert: Die vorliegenden Daten reichen für eine Einstufung nicht aus (UN GHS Einstufung: Nicht eingestuft).</w:t>
      </w:r>
    </w:p>
    <w:p w14:paraId="2B181F67" w14:textId="77777777" w:rsidR="00E3159F" w:rsidRPr="0083231E" w:rsidRDefault="00E3159F" w:rsidP="00EC3655">
      <w:pPr>
        <w:pStyle w:val="berschrift1"/>
        <w:ind w:left="1134"/>
      </w:pPr>
      <w:r w:rsidRPr="0083231E">
        <w:t xml:space="preserve">NOAEL (Inhalation, Niere und/oder Blase, Ratte, 28 Tage): </w:t>
      </w:r>
      <w:r w:rsidR="00AB5982" w:rsidRPr="0083231E">
        <w:t>3</w:t>
      </w:r>
      <w:r w:rsidRPr="0083231E">
        <w:t>006 ppm. Wert: Die vorliegenden Daten reichen für eine Einstufung nicht aus (UN GHS Einstufung: Nicht eingestuft).</w:t>
      </w:r>
    </w:p>
    <w:p w14:paraId="577976E7" w14:textId="77777777" w:rsidR="00E3159F" w:rsidRPr="0083231E" w:rsidRDefault="00E3159F" w:rsidP="00EC3655">
      <w:pPr>
        <w:pStyle w:val="berschrift1"/>
        <w:ind w:left="1134"/>
      </w:pPr>
      <w:r w:rsidRPr="0083231E">
        <w:t xml:space="preserve">NOAEL (Inhalation, Herz, Ratte, 28 Tage): </w:t>
      </w:r>
      <w:r w:rsidR="00AB5982" w:rsidRPr="0083231E">
        <w:t>25</w:t>
      </w:r>
      <w:r w:rsidRPr="0083231E">
        <w:t>386 ppm. Wert: Alle Daten sind negativ (UN GHS Einstufung: Nicht eingestuft).</w:t>
      </w:r>
    </w:p>
    <w:p w14:paraId="69D35681" w14:textId="77777777" w:rsidR="00E3159F" w:rsidRPr="0083231E" w:rsidRDefault="00E3159F" w:rsidP="00EC3655">
      <w:pPr>
        <w:pStyle w:val="berschrift1"/>
        <w:ind w:left="1134"/>
      </w:pPr>
      <w:r w:rsidRPr="0083231E">
        <w:t xml:space="preserve">NOAEL (Inhalation, Blutbildendes System, Ratte, 28 Tage): </w:t>
      </w:r>
      <w:r w:rsidR="00AB5982" w:rsidRPr="0083231E">
        <w:t>24</w:t>
      </w:r>
      <w:r w:rsidRPr="0083231E">
        <w:t>386 ppm. Wert: Alle Daten sind negativ (UN GHS Einstufung: Nicht eingestuft).</w:t>
      </w:r>
    </w:p>
    <w:p w14:paraId="6BAA83DA" w14:textId="77777777" w:rsidR="00E3159F" w:rsidRPr="0083231E" w:rsidRDefault="00E3159F" w:rsidP="00EC3655">
      <w:pPr>
        <w:pStyle w:val="berschrift1"/>
        <w:ind w:left="1134"/>
      </w:pPr>
      <w:r w:rsidRPr="00C24929">
        <w:rPr>
          <w:lang w:val="de-DE"/>
        </w:rPr>
        <w:t xml:space="preserve">NOAEL (Oral, Blut, Ratte, 28 Tage): 200 mg/kg. </w:t>
      </w:r>
      <w:r w:rsidRPr="0083231E">
        <w:t>Wert: Die vorliegenden Daten reichen für eine Einstufung nicht aus (UN GHS Einstufung: Nicht eingestuft).</w:t>
      </w:r>
    </w:p>
    <w:p w14:paraId="07913F1B" w14:textId="77777777" w:rsidR="00E3159F" w:rsidRPr="0083231E" w:rsidRDefault="00E3159F" w:rsidP="00EC3655">
      <w:pPr>
        <w:pStyle w:val="berschrift1"/>
        <w:ind w:left="1134"/>
      </w:pPr>
      <w:r w:rsidRPr="0083231E">
        <w:t>NOAEL (Oral, Leber, Ratte, 28 Tage): 40 mg/kg. Wert: Die vorliegenden Daten reichen für eine Einstufung nicht aus (UN GHS Einstufung: Nicht eingestuft).</w:t>
      </w:r>
    </w:p>
    <w:p w14:paraId="6A2E9A7D" w14:textId="77777777" w:rsidR="00E3159F" w:rsidRPr="0083231E" w:rsidRDefault="00E3159F" w:rsidP="00EC3655">
      <w:pPr>
        <w:pStyle w:val="berschrift1"/>
        <w:ind w:left="1134"/>
      </w:pPr>
      <w:r w:rsidRPr="0083231E">
        <w:t>NOAEL (Oral, Niere und/oder Blase, Ratte, 28 Tage): 200 mg/kg. Wert: Die vorliegenden Daten reichen für eine Einstufung nicht aus (UN GHS Einstufung: Nicht eingestuft).</w:t>
      </w:r>
    </w:p>
    <w:p w14:paraId="18E9A9A5" w14:textId="77777777" w:rsidR="00E3159F" w:rsidRPr="0083231E" w:rsidRDefault="00E3159F" w:rsidP="00EC3655">
      <w:pPr>
        <w:pStyle w:val="berschrift1"/>
        <w:ind w:left="1134"/>
      </w:pPr>
      <w:r w:rsidRPr="0083231E">
        <w:t xml:space="preserve">NOAEL (Oral, Hormonsystem/Blutbildendes System/Immunsystem/Nervensystem, Ratte, 28 Tage): </w:t>
      </w:r>
      <w:r w:rsidR="00AB5982" w:rsidRPr="0083231E">
        <w:t>1</w:t>
      </w:r>
      <w:r w:rsidRPr="0083231E">
        <w:t>000 mg/kg. Wert: Alle Daten sind negativ (UN GHS Einstufung: Nicht eingestuft).</w:t>
      </w:r>
    </w:p>
    <w:p w14:paraId="571DD88F" w14:textId="77777777" w:rsidR="00065A00" w:rsidRPr="0083231E" w:rsidRDefault="00065A00" w:rsidP="00065A00">
      <w:pPr>
        <w:pStyle w:val="Zitat"/>
        <w:ind w:left="1134" w:firstLine="0"/>
        <w:rPr>
          <w:rStyle w:val="SchwacheHervorhebung"/>
        </w:rPr>
      </w:pPr>
      <w:r w:rsidRPr="0083231E">
        <w:rPr>
          <w:rStyle w:val="SchwacheHervorhebung"/>
        </w:rPr>
        <w:t>Aspirationsgefahr:</w:t>
      </w:r>
    </w:p>
    <w:p w14:paraId="2F09D9F1" w14:textId="77777777" w:rsidR="00065A00" w:rsidRPr="0083231E" w:rsidRDefault="00065A00" w:rsidP="00065A00">
      <w:pPr>
        <w:pStyle w:val="berschrift1"/>
        <w:ind w:left="1134"/>
      </w:pPr>
      <w:r w:rsidRPr="0083231E">
        <w:t>Keine Gefahr der Aspiration (UN GHS Einstufung: Nicht eingestuft)</w:t>
      </w:r>
    </w:p>
    <w:p w14:paraId="27FAACEC" w14:textId="77777777" w:rsidR="00AB5982" w:rsidRPr="0083231E" w:rsidRDefault="00AB5982" w:rsidP="00AB5982">
      <w:pPr>
        <w:pStyle w:val="Zitat"/>
        <w:ind w:left="1134" w:firstLine="0"/>
        <w:rPr>
          <w:rStyle w:val="SchwacheHervorhebung"/>
        </w:rPr>
      </w:pPr>
      <w:r w:rsidRPr="0083231E">
        <w:rPr>
          <w:rStyle w:val="SchwacheHervorhebung"/>
        </w:rPr>
        <w:t xml:space="preserve">Basierend auf Testdaten und / oder Informationen über die Inhaltsstoffe kann dieses Produkt die folgenden </w:t>
      </w:r>
      <w:r w:rsidR="00C446F5" w:rsidRPr="0083231E">
        <w:rPr>
          <w:rStyle w:val="SchwacheHervorhebung"/>
        </w:rPr>
        <w:t>Auswirkungen</w:t>
      </w:r>
      <w:r w:rsidRPr="0083231E">
        <w:rPr>
          <w:rStyle w:val="SchwacheHervorhebung"/>
        </w:rPr>
        <w:t xml:space="preserve"> auf die Gesundheit haben:</w:t>
      </w:r>
    </w:p>
    <w:p w14:paraId="56C8A051" w14:textId="77777777" w:rsidR="00AB5982" w:rsidRPr="0083231E" w:rsidRDefault="00AB5982" w:rsidP="00AB5982">
      <w:pPr>
        <w:ind w:left="1134"/>
      </w:pPr>
      <w:r w:rsidRPr="0083231E">
        <w:t xml:space="preserve">Bei bestimmungsgemäßer Verwendung dieses Produktes ist bei zufälligem Augenkontakt / Hautkontakt keine signifikante Augenreizung bzw. Hautreizung zu erwarten. </w:t>
      </w:r>
    </w:p>
    <w:p w14:paraId="69BB214F" w14:textId="77777777" w:rsidR="00AB5982" w:rsidRPr="0083231E" w:rsidRDefault="00AB5982" w:rsidP="00AB5982">
      <w:pPr>
        <w:ind w:left="1134"/>
      </w:pPr>
      <w:r w:rsidRPr="0083231E">
        <w:t xml:space="preserve">Von einer Exposition durch Inhalation werden keine negativen gesundheitlichen Auswirkungen erwartet. </w:t>
      </w:r>
    </w:p>
    <w:p w14:paraId="4AF9C464" w14:textId="77777777" w:rsidR="001D7474" w:rsidRPr="0083231E" w:rsidRDefault="00AB5982" w:rsidP="00AB5982">
      <w:pPr>
        <w:ind w:left="1134"/>
      </w:pPr>
      <w:r w:rsidRPr="0083231E">
        <w:t>Kann beim Verschlucken gesundheitsschädlich sein.</w:t>
      </w:r>
    </w:p>
    <w:p w14:paraId="6AF0115C" w14:textId="77777777" w:rsidR="00AF7D10" w:rsidRPr="0083231E" w:rsidRDefault="00AF7D10" w:rsidP="005F7840">
      <w:pPr>
        <w:pStyle w:val="Titel"/>
      </w:pPr>
      <w:r w:rsidRPr="0083231E">
        <w:t>_______________________________________________________________________________________</w:t>
      </w:r>
    </w:p>
    <w:p w14:paraId="16D6D8E1" w14:textId="77777777" w:rsidR="00681638" w:rsidRPr="0083231E" w:rsidRDefault="00AB18FE" w:rsidP="005F7840">
      <w:pPr>
        <w:pStyle w:val="berschrift3"/>
      </w:pPr>
      <w:r w:rsidRPr="0083231E">
        <w:t>ABSCHNITT</w:t>
      </w:r>
      <w:r w:rsidR="002F1645" w:rsidRPr="0083231E">
        <w:t xml:space="preserve">: </w:t>
      </w:r>
      <w:r w:rsidR="002B2914" w:rsidRPr="0083231E">
        <w:t>Umweltbezogene Angaben</w:t>
      </w:r>
    </w:p>
    <w:p w14:paraId="4B4AFD4A" w14:textId="77777777" w:rsidR="00AE4C2A" w:rsidRPr="0083231E" w:rsidRDefault="00AE4C2A" w:rsidP="00AE4C2A">
      <w:pPr>
        <w:pStyle w:val="Untertitel"/>
      </w:pPr>
      <w:r w:rsidRPr="0083231E">
        <w:t xml:space="preserve">Substanz 1: </w:t>
      </w:r>
      <w:proofErr w:type="spellStart"/>
      <w:r w:rsidRPr="0083231E">
        <w:t>Perfluoralkan</w:t>
      </w:r>
      <w:proofErr w:type="spellEnd"/>
    </w:p>
    <w:p w14:paraId="16E3D9A6" w14:textId="77777777" w:rsidR="00BC011B" w:rsidRPr="0083231E" w:rsidRDefault="00BC011B" w:rsidP="00660214">
      <w:pPr>
        <w:pStyle w:val="Zitat"/>
        <w:ind w:left="1134" w:firstLine="0"/>
        <w:rPr>
          <w:rStyle w:val="SchwacheHervorhebung"/>
        </w:rPr>
      </w:pPr>
      <w:r w:rsidRPr="0083231E">
        <w:rPr>
          <w:rStyle w:val="SchwacheHervorhebung"/>
        </w:rPr>
        <w:t xml:space="preserve">Toxizität </w:t>
      </w:r>
      <w:r w:rsidR="00B9333A" w:rsidRPr="0083231E">
        <w:rPr>
          <w:rStyle w:val="SchwacheHervorhebung"/>
        </w:rPr>
        <w:t>(</w:t>
      </w:r>
      <w:r w:rsidRPr="0083231E">
        <w:rPr>
          <w:rStyle w:val="SchwacheHervorhebung"/>
        </w:rPr>
        <w:t>Fische</w:t>
      </w:r>
      <w:r w:rsidR="00B9333A" w:rsidRPr="0083231E">
        <w:rPr>
          <w:rStyle w:val="SchwacheHervorhebung"/>
        </w:rPr>
        <w:t>, Daphnien, Algen)</w:t>
      </w:r>
      <w:r w:rsidRPr="0083231E">
        <w:rPr>
          <w:rStyle w:val="SchwacheHervorhebung"/>
        </w:rPr>
        <w:t>:</w:t>
      </w:r>
    </w:p>
    <w:p w14:paraId="3E218002" w14:textId="77777777" w:rsidR="00B9333A" w:rsidRPr="0083231E" w:rsidRDefault="00B9333A" w:rsidP="00660214">
      <w:pPr>
        <w:pStyle w:val="berschrift1"/>
        <w:ind w:left="1134"/>
      </w:pPr>
      <w:r w:rsidRPr="0083231E">
        <w:t>Keine Daten verfügbar.</w:t>
      </w:r>
    </w:p>
    <w:p w14:paraId="2638AA3D" w14:textId="77777777" w:rsidR="00BC011B" w:rsidRPr="0083231E" w:rsidRDefault="00BC011B" w:rsidP="00660214">
      <w:pPr>
        <w:pStyle w:val="Zitat"/>
        <w:ind w:left="1134" w:firstLine="0"/>
      </w:pPr>
      <w:r w:rsidRPr="0083231E">
        <w:t>Persistenz und Abbaubarkeit:</w:t>
      </w:r>
    </w:p>
    <w:p w14:paraId="66E7B402" w14:textId="77777777" w:rsidR="00287141" w:rsidRPr="0083231E" w:rsidRDefault="00287141" w:rsidP="00660214">
      <w:pPr>
        <w:pStyle w:val="berschrift1"/>
        <w:ind w:left="1134"/>
      </w:pPr>
      <w:r w:rsidRPr="0083231E">
        <w:t>Keine Daten verfügbar.</w:t>
      </w:r>
    </w:p>
    <w:p w14:paraId="61F1A65D" w14:textId="77777777" w:rsidR="007C38A1" w:rsidRPr="0083231E" w:rsidRDefault="007C38A1">
      <w:pPr>
        <w:spacing w:after="0"/>
        <w:rPr>
          <w:bCs/>
          <w:sz w:val="22"/>
          <w:szCs w:val="22"/>
          <w:u w:val="single"/>
        </w:rPr>
      </w:pPr>
      <w:r w:rsidRPr="0083231E">
        <w:br w:type="page"/>
      </w:r>
    </w:p>
    <w:p w14:paraId="0E881E5F" w14:textId="77777777" w:rsidR="00BC011B" w:rsidRPr="0083231E" w:rsidRDefault="00BC011B" w:rsidP="00660214">
      <w:pPr>
        <w:pStyle w:val="Zitat"/>
        <w:ind w:left="1134" w:firstLine="0"/>
      </w:pPr>
      <w:r w:rsidRPr="0083231E">
        <w:lastRenderedPageBreak/>
        <w:t>Bioakkumulationspotenzial:</w:t>
      </w:r>
    </w:p>
    <w:p w14:paraId="1701DB29" w14:textId="77777777" w:rsidR="00BC011B" w:rsidRPr="0083231E" w:rsidRDefault="00BC011B" w:rsidP="00660214">
      <w:pPr>
        <w:pStyle w:val="berschrift1"/>
        <w:ind w:left="1134"/>
      </w:pPr>
      <w:r w:rsidRPr="0083231E">
        <w:t>Keine Daten verfügbar.</w:t>
      </w:r>
    </w:p>
    <w:p w14:paraId="3D4173A9" w14:textId="77777777" w:rsidR="00BC011B" w:rsidRPr="0083231E" w:rsidRDefault="00BC011B" w:rsidP="00660214">
      <w:pPr>
        <w:pStyle w:val="Zitat"/>
        <w:ind w:left="1134" w:firstLine="0"/>
      </w:pPr>
      <w:r w:rsidRPr="0083231E">
        <w:t>Mobilität im Boden:</w:t>
      </w:r>
    </w:p>
    <w:p w14:paraId="12FEE3FA" w14:textId="77777777" w:rsidR="00BC011B" w:rsidRPr="0083231E" w:rsidRDefault="00BC011B" w:rsidP="00660214">
      <w:pPr>
        <w:pStyle w:val="berschrift1"/>
        <w:ind w:left="1134"/>
      </w:pPr>
      <w:r w:rsidRPr="0083231E">
        <w:t>Keine Daten verfügbar.</w:t>
      </w:r>
    </w:p>
    <w:p w14:paraId="577CAF88" w14:textId="77777777" w:rsidR="00BC011B" w:rsidRPr="0083231E" w:rsidRDefault="00BC011B" w:rsidP="00660214">
      <w:pPr>
        <w:pStyle w:val="Zitat"/>
        <w:ind w:left="1134" w:firstLine="0"/>
      </w:pPr>
      <w:r w:rsidRPr="0083231E">
        <w:t xml:space="preserve">Ergebnisse der PBT – und </w:t>
      </w:r>
      <w:proofErr w:type="spellStart"/>
      <w:r w:rsidRPr="0083231E">
        <w:t>vPvB</w:t>
      </w:r>
      <w:proofErr w:type="spellEnd"/>
      <w:r w:rsidRPr="0083231E">
        <w:t>-Beurteilung:</w:t>
      </w:r>
    </w:p>
    <w:p w14:paraId="6566D9B5" w14:textId="77777777" w:rsidR="00B9333A" w:rsidRPr="0083231E" w:rsidRDefault="00287141" w:rsidP="00660214">
      <w:pPr>
        <w:pStyle w:val="berschrift1"/>
        <w:ind w:left="1134"/>
      </w:pPr>
      <w:r w:rsidRPr="0083231E">
        <w:t>Keine Daten verfügbar.</w:t>
      </w:r>
    </w:p>
    <w:p w14:paraId="35BAE4C6" w14:textId="77777777" w:rsidR="00BC011B" w:rsidRPr="0083231E" w:rsidRDefault="00BC011B" w:rsidP="00660214">
      <w:pPr>
        <w:pStyle w:val="Zitat"/>
        <w:ind w:left="1134" w:firstLine="0"/>
      </w:pPr>
      <w:r w:rsidRPr="0083231E">
        <w:t>Andere schädliche Wirkungen:</w:t>
      </w:r>
    </w:p>
    <w:p w14:paraId="5DE7489C" w14:textId="77777777" w:rsidR="00BC011B" w:rsidRPr="0083231E" w:rsidRDefault="00734A0A" w:rsidP="00660214">
      <w:pPr>
        <w:pStyle w:val="berschrift1"/>
        <w:ind w:left="1134"/>
      </w:pPr>
      <w:r w:rsidRPr="0083231E">
        <w:t xml:space="preserve">Ökologischer Hinweis: </w:t>
      </w:r>
      <w:r w:rsidR="00287141" w:rsidRPr="0083231E">
        <w:t xml:space="preserve">Das Produkt ist </w:t>
      </w:r>
      <w:r w:rsidR="00DA54B2" w:rsidRPr="0083231E">
        <w:t>wasserunlöslich</w:t>
      </w:r>
      <w:r w:rsidR="00287141" w:rsidRPr="0083231E">
        <w:t>. Eine mechanische Abtrennung in Kläranlagen ist möglich.</w:t>
      </w:r>
    </w:p>
    <w:p w14:paraId="0CD969DB" w14:textId="77777777" w:rsidR="00AE4C2A" w:rsidRPr="0083231E" w:rsidRDefault="00AE4C2A" w:rsidP="00AE4C2A">
      <w:pPr>
        <w:pStyle w:val="Untertitel"/>
      </w:pPr>
      <w:r w:rsidRPr="0083231E">
        <w:t xml:space="preserve">Substanz 2 / 3: </w:t>
      </w:r>
      <w:proofErr w:type="spellStart"/>
      <w:r w:rsidRPr="0083231E">
        <w:t>Ethylnonafluorisobutylether</w:t>
      </w:r>
      <w:proofErr w:type="spellEnd"/>
      <w:r w:rsidRPr="0083231E">
        <w:t xml:space="preserve"> / </w:t>
      </w:r>
      <w:proofErr w:type="spellStart"/>
      <w:r w:rsidRPr="0083231E">
        <w:t>Ethylnonafluorbutylether</w:t>
      </w:r>
      <w:proofErr w:type="spellEnd"/>
    </w:p>
    <w:p w14:paraId="0BBEC097" w14:textId="77777777" w:rsidR="00AE4C2A" w:rsidRPr="0083231E" w:rsidRDefault="00AE4C2A" w:rsidP="00AE4C2A">
      <w:pPr>
        <w:pStyle w:val="Zitat"/>
        <w:ind w:left="1134" w:firstLine="0"/>
        <w:rPr>
          <w:rStyle w:val="SchwacheHervorhebung"/>
        </w:rPr>
      </w:pPr>
      <w:r w:rsidRPr="0083231E">
        <w:rPr>
          <w:rStyle w:val="SchwacheHervorhebung"/>
        </w:rPr>
        <w:t>Toxizität:</w:t>
      </w:r>
    </w:p>
    <w:p w14:paraId="2FEF2604" w14:textId="77777777" w:rsidR="00B13CD3" w:rsidRPr="0083231E" w:rsidRDefault="00AE4C2A" w:rsidP="00D64881">
      <w:pPr>
        <w:pStyle w:val="berschrift1"/>
        <w:ind w:left="1134"/>
      </w:pPr>
      <w:r w:rsidRPr="0083231E">
        <w:t>Gemäß den GHS-Kriterien gilt diese Komponente nicht als akut bzw. chronisch giftig für Wasserorganismen.</w:t>
      </w:r>
    </w:p>
    <w:p w14:paraId="04923409" w14:textId="77777777" w:rsidR="00B13CD3" w:rsidRPr="0083231E" w:rsidRDefault="00AE4C2A" w:rsidP="00D64881">
      <w:pPr>
        <w:pStyle w:val="berschrift1"/>
        <w:ind w:left="1134"/>
        <w:rPr>
          <w:lang w:val="en-GB"/>
        </w:rPr>
      </w:pPr>
      <w:r w:rsidRPr="0083231E">
        <w:rPr>
          <w:lang w:val="en-GB"/>
        </w:rPr>
        <w:t>EC</w:t>
      </w:r>
      <w:r w:rsidRPr="0083231E">
        <w:rPr>
          <w:vertAlign w:val="subscript"/>
          <w:lang w:val="en-GB"/>
        </w:rPr>
        <w:t>50</w:t>
      </w:r>
      <w:r w:rsidR="00B13CD3" w:rsidRPr="0083231E">
        <w:rPr>
          <w:lang w:val="en-GB"/>
        </w:rPr>
        <w:t>,</w:t>
      </w:r>
      <w:r w:rsidRPr="0083231E">
        <w:rPr>
          <w:lang w:val="en-GB"/>
        </w:rPr>
        <w:t xml:space="preserve"> </w:t>
      </w:r>
      <w:proofErr w:type="spellStart"/>
      <w:r w:rsidR="00B13CD3" w:rsidRPr="0083231E">
        <w:rPr>
          <w:lang w:val="en-GB"/>
        </w:rPr>
        <w:t>Wasserfloh</w:t>
      </w:r>
      <w:proofErr w:type="spellEnd"/>
      <w:r w:rsidR="00B13CD3" w:rsidRPr="0083231E">
        <w:rPr>
          <w:lang w:val="en-GB"/>
        </w:rPr>
        <w:t xml:space="preserve"> (Labor, 48 Std.)</w:t>
      </w:r>
      <w:r w:rsidRPr="0083231E">
        <w:rPr>
          <w:lang w:val="en-GB"/>
        </w:rPr>
        <w:t xml:space="preserve">: &gt; </w:t>
      </w:r>
      <w:r w:rsidR="00B13CD3" w:rsidRPr="0083231E">
        <w:rPr>
          <w:lang w:val="en-GB"/>
        </w:rPr>
        <w:t>2,55 mg/L</w:t>
      </w:r>
    </w:p>
    <w:p w14:paraId="77E2E2CE" w14:textId="77777777" w:rsidR="00B13CD3" w:rsidRPr="0083231E" w:rsidRDefault="000440F6" w:rsidP="00D64881">
      <w:pPr>
        <w:pStyle w:val="berschrift1"/>
        <w:ind w:left="1134"/>
        <w:rPr>
          <w:lang w:val="en-GB"/>
        </w:rPr>
      </w:pPr>
      <w:r w:rsidRPr="0083231E">
        <w:rPr>
          <w:lang w:val="en-GB"/>
        </w:rPr>
        <w:t>LC</w:t>
      </w:r>
      <w:r w:rsidR="00B13CD3" w:rsidRPr="0083231E">
        <w:rPr>
          <w:vertAlign w:val="subscript"/>
          <w:lang w:val="en-GB"/>
        </w:rPr>
        <w:t>50</w:t>
      </w:r>
      <w:r w:rsidR="00B13CD3" w:rsidRPr="0083231E">
        <w:rPr>
          <w:lang w:val="en-GB"/>
        </w:rPr>
        <w:t xml:space="preserve">, </w:t>
      </w:r>
      <w:proofErr w:type="spellStart"/>
      <w:r w:rsidR="00B13CD3" w:rsidRPr="0083231E">
        <w:rPr>
          <w:lang w:val="en-GB"/>
        </w:rPr>
        <w:t>Pimephales</w:t>
      </w:r>
      <w:proofErr w:type="spellEnd"/>
      <w:r w:rsidR="00B13CD3" w:rsidRPr="0083231E">
        <w:rPr>
          <w:lang w:val="en-GB"/>
        </w:rPr>
        <w:t xml:space="preserve"> </w:t>
      </w:r>
      <w:proofErr w:type="spellStart"/>
      <w:r w:rsidR="00B13CD3" w:rsidRPr="0083231E">
        <w:rPr>
          <w:lang w:val="en-GB"/>
        </w:rPr>
        <w:t>promelas</w:t>
      </w:r>
      <w:proofErr w:type="spellEnd"/>
      <w:r w:rsidR="00B13CD3" w:rsidRPr="0083231E">
        <w:rPr>
          <w:lang w:val="en-GB"/>
        </w:rPr>
        <w:t xml:space="preserve"> (Labor, 96 Std.): &gt; 2,75 mg/L</w:t>
      </w:r>
    </w:p>
    <w:p w14:paraId="5623F91D" w14:textId="77777777" w:rsidR="00B13CD3" w:rsidRPr="0083231E" w:rsidRDefault="00B13CD3" w:rsidP="00D64881">
      <w:pPr>
        <w:pStyle w:val="berschrift1"/>
        <w:ind w:left="1134"/>
      </w:pPr>
      <w:r w:rsidRPr="0083231E">
        <w:t>EC</w:t>
      </w:r>
      <w:r w:rsidRPr="0083231E">
        <w:rPr>
          <w:vertAlign w:val="subscript"/>
        </w:rPr>
        <w:t>50</w:t>
      </w:r>
      <w:r w:rsidRPr="0083231E">
        <w:t>, Grünalge  (Labor, 96 Std.): &gt; 2,32 mg/L</w:t>
      </w:r>
      <w:r w:rsidRPr="0083231E">
        <w:tab/>
      </w:r>
    </w:p>
    <w:p w14:paraId="3D18A62D" w14:textId="77777777" w:rsidR="00AE4C2A" w:rsidRPr="0083231E" w:rsidRDefault="00AE4C2A" w:rsidP="00AE4C2A">
      <w:pPr>
        <w:pStyle w:val="Zitat"/>
        <w:ind w:left="1134" w:firstLine="0"/>
      </w:pPr>
      <w:r w:rsidRPr="0083231E">
        <w:t>Persistenz und Abbaubarkeit:</w:t>
      </w:r>
    </w:p>
    <w:p w14:paraId="75ABE19D" w14:textId="77777777" w:rsidR="00AE4C2A" w:rsidRPr="0083231E" w:rsidRDefault="00AE4C2A" w:rsidP="00AE4C2A">
      <w:pPr>
        <w:pStyle w:val="berschrift1"/>
        <w:ind w:left="1134"/>
      </w:pPr>
      <w:r w:rsidRPr="0083231E">
        <w:t>Keine Daten verfügbar.</w:t>
      </w:r>
    </w:p>
    <w:p w14:paraId="5DFB38FF" w14:textId="77777777" w:rsidR="00AE4C2A" w:rsidRPr="0083231E" w:rsidRDefault="00AE4C2A" w:rsidP="00AE4C2A">
      <w:pPr>
        <w:pStyle w:val="Zitat"/>
        <w:ind w:left="1134" w:firstLine="0"/>
      </w:pPr>
      <w:r w:rsidRPr="0083231E">
        <w:t>Bioakkumulationspotenzial:</w:t>
      </w:r>
    </w:p>
    <w:p w14:paraId="09C67D4F" w14:textId="77777777" w:rsidR="00AE4C2A" w:rsidRPr="0083231E" w:rsidRDefault="00AE4C2A" w:rsidP="00AE4C2A">
      <w:pPr>
        <w:pStyle w:val="berschrift1"/>
        <w:ind w:left="1134"/>
      </w:pPr>
      <w:r w:rsidRPr="0083231E">
        <w:t>Keine Daten verfügbar.</w:t>
      </w:r>
    </w:p>
    <w:p w14:paraId="1EC1FE0B" w14:textId="77777777" w:rsidR="00AE4C2A" w:rsidRPr="0083231E" w:rsidRDefault="00AE4C2A" w:rsidP="00AE4C2A">
      <w:pPr>
        <w:pStyle w:val="Zitat"/>
        <w:ind w:left="1134" w:firstLine="0"/>
      </w:pPr>
      <w:r w:rsidRPr="0083231E">
        <w:t>Mobilität im Boden:</w:t>
      </w:r>
    </w:p>
    <w:p w14:paraId="133BA445" w14:textId="77777777" w:rsidR="00AE4C2A" w:rsidRPr="0083231E" w:rsidRDefault="00B13CD3" w:rsidP="00AE4C2A">
      <w:pPr>
        <w:pStyle w:val="berschrift1"/>
        <w:ind w:left="1134"/>
      </w:pPr>
      <w:r w:rsidRPr="0083231E">
        <w:t>Keine Daten verfügbar.</w:t>
      </w:r>
    </w:p>
    <w:p w14:paraId="7219AE59" w14:textId="77777777" w:rsidR="00AE4C2A" w:rsidRPr="0083231E" w:rsidRDefault="00AE4C2A" w:rsidP="00AE4C2A">
      <w:pPr>
        <w:pStyle w:val="Zitat"/>
        <w:ind w:left="1134" w:firstLine="0"/>
      </w:pPr>
      <w:r w:rsidRPr="0083231E">
        <w:t xml:space="preserve">Ergebnisse der PBT – und </w:t>
      </w:r>
      <w:proofErr w:type="spellStart"/>
      <w:r w:rsidRPr="0083231E">
        <w:t>vPvB</w:t>
      </w:r>
      <w:proofErr w:type="spellEnd"/>
      <w:r w:rsidRPr="0083231E">
        <w:t>-Beurteilung:</w:t>
      </w:r>
    </w:p>
    <w:p w14:paraId="5E4290E1" w14:textId="77777777" w:rsidR="00AE4C2A" w:rsidRPr="0083231E" w:rsidRDefault="00AE4C2A" w:rsidP="00AE4C2A">
      <w:pPr>
        <w:pStyle w:val="berschrift1"/>
        <w:ind w:left="1134"/>
      </w:pPr>
      <w:r w:rsidRPr="0083231E">
        <w:t>Keine Daten verfügbar.</w:t>
      </w:r>
    </w:p>
    <w:p w14:paraId="3ABCEE04" w14:textId="77777777" w:rsidR="00AE4C2A" w:rsidRPr="0083231E" w:rsidRDefault="00AE4C2A" w:rsidP="00AE4C2A">
      <w:pPr>
        <w:pStyle w:val="Zitat"/>
        <w:ind w:left="1134" w:firstLine="0"/>
      </w:pPr>
      <w:r w:rsidRPr="0083231E">
        <w:t>Andere schädliche Wirkungen:</w:t>
      </w:r>
    </w:p>
    <w:p w14:paraId="7D03E6F7" w14:textId="77777777" w:rsidR="00AE4C2A" w:rsidRPr="0083231E" w:rsidRDefault="00B13CD3" w:rsidP="0029608C">
      <w:pPr>
        <w:pStyle w:val="berschrift1"/>
        <w:ind w:left="1134"/>
      </w:pPr>
      <w:r w:rsidRPr="0083231E">
        <w:t>Keine Daten verfügbar.</w:t>
      </w:r>
    </w:p>
    <w:p w14:paraId="19C097EE" w14:textId="77777777" w:rsidR="00FD0668" w:rsidRPr="0083231E" w:rsidRDefault="00E47C05" w:rsidP="005F7840">
      <w:pPr>
        <w:pStyle w:val="Titel"/>
        <w:rPr>
          <w:b/>
          <w:sz w:val="22"/>
          <w:szCs w:val="22"/>
        </w:rPr>
      </w:pPr>
      <w:r w:rsidRPr="0083231E">
        <w:t>_______________________________________________________________________________________</w:t>
      </w:r>
    </w:p>
    <w:bookmarkEnd w:id="0"/>
    <w:p w14:paraId="0C91453A" w14:textId="77777777" w:rsidR="00E94D22" w:rsidRPr="0083231E" w:rsidRDefault="00AB18FE" w:rsidP="00B13CD3">
      <w:pPr>
        <w:pStyle w:val="berschrift3"/>
      </w:pPr>
      <w:r w:rsidRPr="0083231E">
        <w:t>ABSCHNITT</w:t>
      </w:r>
      <w:r w:rsidR="002F1645" w:rsidRPr="0083231E">
        <w:t xml:space="preserve">: </w:t>
      </w:r>
      <w:r w:rsidR="008B4985" w:rsidRPr="0083231E">
        <w:t>Hinweise zur Entsorgung</w:t>
      </w:r>
    </w:p>
    <w:p w14:paraId="3C198BA7" w14:textId="77777777" w:rsidR="00B13CD3" w:rsidRPr="0083231E" w:rsidRDefault="00B13CD3" w:rsidP="00B13CD3">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3B0F4761" w14:textId="77777777" w:rsidR="00B13CD3" w:rsidRPr="0083231E" w:rsidRDefault="00B13CD3" w:rsidP="00B13CD3">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5432398A" w14:textId="77777777" w:rsidR="00C2435F" w:rsidRPr="0083231E" w:rsidRDefault="008B4985" w:rsidP="00B13CD3">
      <w:pPr>
        <w:pStyle w:val="berschrift4"/>
      </w:pPr>
      <w:r w:rsidRPr="0083231E">
        <w:t>Verfahren zur Abfallbehandlung</w:t>
      </w:r>
    </w:p>
    <w:p w14:paraId="25D65327" w14:textId="77777777" w:rsidR="00E94D22" w:rsidRPr="0083231E" w:rsidRDefault="008B4985" w:rsidP="005F7840">
      <w:pPr>
        <w:pStyle w:val="Untertitel"/>
      </w:pPr>
      <w:r w:rsidRPr="0083231E">
        <w:t>Entsorgung des Produkts/der Verpackung</w:t>
      </w:r>
    </w:p>
    <w:p w14:paraId="2A40C7DA" w14:textId="77777777" w:rsidR="00642BE4" w:rsidRPr="0083231E" w:rsidRDefault="00E108AD" w:rsidP="005F7840">
      <w:pPr>
        <w:pStyle w:val="berschrift1"/>
      </w:pPr>
      <w:r w:rsidRPr="0083231E">
        <w:t xml:space="preserve">Restmengen, nicht wieder verwertbare Lösungen sowie verunreinigte </w:t>
      </w:r>
      <w:r w:rsidR="0032333E" w:rsidRPr="0083231E">
        <w:t>Verpackungen</w:t>
      </w:r>
      <w:r w:rsidR="00D546EE" w:rsidRPr="0083231E">
        <w:t xml:space="preserve"> </w:t>
      </w:r>
      <w:r w:rsidR="00734A0A" w:rsidRPr="0083231E">
        <w:t xml:space="preserve">unter Beachtung der Sonderabfallvorschriften einer </w:t>
      </w:r>
      <w:r w:rsidR="00DA54B2" w:rsidRPr="0083231E">
        <w:t>hierfür</w:t>
      </w:r>
      <w:r w:rsidR="00734A0A" w:rsidRPr="0083231E">
        <w:t xml:space="preserve"> zugelassenen Sonderabfallverbrennungsanlage zuführen. Örtliche behördliche Bestimmungen beachten.</w:t>
      </w:r>
    </w:p>
    <w:p w14:paraId="123FB104" w14:textId="77777777" w:rsidR="00734A0A" w:rsidRPr="0083231E" w:rsidRDefault="00734A0A" w:rsidP="00FD65BA">
      <w:pPr>
        <w:ind w:left="708"/>
      </w:pPr>
      <w:r w:rsidRPr="0083231E">
        <w:t xml:space="preserve">Abfallschlüssel-Nr.: </w:t>
      </w:r>
      <w:r w:rsidR="00D2530D" w:rsidRPr="0083231E">
        <w:t>070103</w:t>
      </w:r>
      <w:r w:rsidR="00FD65BA" w:rsidRPr="0083231E">
        <w:t>*</w:t>
      </w:r>
      <w:r w:rsidRPr="0083231E">
        <w:t xml:space="preserve"> (</w:t>
      </w:r>
      <w:r w:rsidR="00D2530D" w:rsidRPr="0083231E">
        <w:t>Halogenorganische Lösemittel, Waschflüssigkeiten und Mutterlaugen</w:t>
      </w:r>
      <w:r w:rsidRPr="0083231E">
        <w:t>)</w:t>
      </w:r>
      <w:r w:rsidR="00D2530D" w:rsidRPr="0083231E">
        <w:t xml:space="preserve">; </w:t>
      </w:r>
      <w:r w:rsidR="00D2530D" w:rsidRPr="0083231E">
        <w:br/>
        <w:t>140602</w:t>
      </w:r>
      <w:r w:rsidR="00FD65BA" w:rsidRPr="0083231E">
        <w:t>*</w:t>
      </w:r>
      <w:r w:rsidR="00D2530D" w:rsidRPr="0083231E">
        <w:t xml:space="preserve"> (Andere halogenierte Lös</w:t>
      </w:r>
      <w:r w:rsidR="00C446F5" w:rsidRPr="0083231E">
        <w:t>ungsmittel und Lösungsmittelgem</w:t>
      </w:r>
      <w:r w:rsidR="00D2530D" w:rsidRPr="0083231E">
        <w:t>i</w:t>
      </w:r>
      <w:r w:rsidR="00C446F5" w:rsidRPr="0083231E">
        <w:t>s</w:t>
      </w:r>
      <w:r w:rsidR="00D2530D" w:rsidRPr="0083231E">
        <w:t>che)</w:t>
      </w:r>
    </w:p>
    <w:p w14:paraId="3076B07C" w14:textId="77777777" w:rsidR="00734A0A" w:rsidRPr="0083231E" w:rsidRDefault="0029608C" w:rsidP="00FD65BA">
      <w:pPr>
        <w:ind w:left="708"/>
      </w:pPr>
      <w:r w:rsidRPr="0083231E">
        <w:t>Die genannten Abfallschlüssel sind</w:t>
      </w:r>
      <w:r w:rsidR="00B405CB" w:rsidRPr="0083231E">
        <w:t xml:space="preserve"> eine</w:t>
      </w:r>
      <w:r w:rsidR="00734A0A" w:rsidRPr="0083231E">
        <w:t xml:space="preserve"> Empfehlungen aufgrund der voraussichtlichen Verwendung dieses Produktes. Spezielle Anwendungen oder auch andere Entsorgungsgegebenheiten können zu </w:t>
      </w:r>
      <w:r w:rsidR="00734A0A" w:rsidRPr="0083231E">
        <w:lastRenderedPageBreak/>
        <w:t>Abweichungen führen. S</w:t>
      </w:r>
      <w:r w:rsidRPr="0083231E">
        <w:t>omit ist eine genaue Prüfung der Abfallschlüssel</w:t>
      </w:r>
      <w:r w:rsidR="00734A0A" w:rsidRPr="0083231E">
        <w:t xml:space="preserve"> von Nöten (siehe 2001/118/EG, 2001/119/EG, 2001/573/EG).</w:t>
      </w:r>
    </w:p>
    <w:p w14:paraId="545D4A34" w14:textId="77777777" w:rsidR="004D2636" w:rsidRPr="0083231E" w:rsidRDefault="00EA2917" w:rsidP="005F7840">
      <w:pPr>
        <w:pStyle w:val="Titel"/>
        <w:rPr>
          <w:b/>
          <w:sz w:val="22"/>
          <w:szCs w:val="22"/>
        </w:rPr>
      </w:pPr>
      <w:r w:rsidRPr="0083231E">
        <w:t>__________________________________________________________________________________</w:t>
      </w:r>
      <w:r w:rsidR="00D752EF" w:rsidRPr="0083231E">
        <w:t>___</w:t>
      </w:r>
      <w:r w:rsidR="00AF2288" w:rsidRPr="0083231E">
        <w:t>__</w:t>
      </w:r>
    </w:p>
    <w:p w14:paraId="19F49FD5" w14:textId="77777777" w:rsidR="00604D67" w:rsidRPr="0083231E" w:rsidRDefault="0032333E" w:rsidP="00FD65BA">
      <w:pPr>
        <w:pStyle w:val="berschrift3"/>
        <w:rPr>
          <w:rFonts w:eastAsiaTheme="minorHAnsi"/>
        </w:rPr>
      </w:pPr>
      <w:r w:rsidRPr="0083231E">
        <w:t>ABSCHNITT</w:t>
      </w:r>
      <w:r w:rsidRPr="0083231E">
        <w:rPr>
          <w:rFonts w:eastAsiaTheme="minorHAnsi"/>
        </w:rPr>
        <w:t>: Angaben zum Transport</w:t>
      </w:r>
    </w:p>
    <w:p w14:paraId="58A47A48" w14:textId="77777777" w:rsidR="00FD65BA" w:rsidRPr="0083231E" w:rsidRDefault="00FD65BA" w:rsidP="00FD65BA">
      <w:pPr>
        <w:ind w:firstLine="703"/>
        <w:rPr>
          <w:rStyle w:val="Hervorhebung"/>
        </w:rPr>
      </w:pPr>
      <w:r w:rsidRPr="0083231E">
        <w:rPr>
          <w:rStyle w:val="Hervorhebung"/>
        </w:rPr>
        <w:t>Kein Gefahrengut.</w:t>
      </w:r>
    </w:p>
    <w:p w14:paraId="38F3F612" w14:textId="77777777" w:rsidR="00FD65BA" w:rsidRPr="0083231E" w:rsidRDefault="00FD65BA" w:rsidP="00FD65BA">
      <w:pPr>
        <w:pStyle w:val="Untertitel"/>
        <w:ind w:left="703" w:firstLine="0"/>
      </w:pPr>
      <w:r w:rsidRPr="0083231E">
        <w:t>Massengutbeförderung gemäß Anhang II des MARPOL-Übereinkommens 73/78 und gemäß IBC-Code</w:t>
      </w:r>
    </w:p>
    <w:p w14:paraId="0233E92F" w14:textId="77777777" w:rsidR="00B8310C" w:rsidRPr="0083231E" w:rsidRDefault="00FD65BA" w:rsidP="00FD65BA">
      <w:r w:rsidRPr="0083231E">
        <w:tab/>
        <w:t>Keine Beförderung als Massengut gemäß IBC-Code.</w:t>
      </w:r>
    </w:p>
    <w:p w14:paraId="1C855EFB" w14:textId="77777777" w:rsidR="00637D32" w:rsidRPr="0083231E" w:rsidRDefault="00637D32" w:rsidP="005F7840">
      <w:pPr>
        <w:pStyle w:val="Titel"/>
        <w:rPr>
          <w:b/>
          <w:sz w:val="22"/>
          <w:szCs w:val="22"/>
        </w:rPr>
      </w:pPr>
      <w:r w:rsidRPr="0083231E">
        <w:t>_______________________________________________________________________________________</w:t>
      </w:r>
    </w:p>
    <w:p w14:paraId="439991C9" w14:textId="77777777" w:rsidR="00044602" w:rsidRPr="0083231E" w:rsidRDefault="00AB18FE" w:rsidP="005F7840">
      <w:pPr>
        <w:pStyle w:val="berschrift3"/>
      </w:pPr>
      <w:r w:rsidRPr="0083231E">
        <w:t>ABSCHNITT</w:t>
      </w:r>
      <w:r w:rsidR="002F1645" w:rsidRPr="0083231E">
        <w:t xml:space="preserve">: </w:t>
      </w:r>
      <w:r w:rsidR="00F024A0" w:rsidRPr="0083231E">
        <w:t>Rechtsvorschriften</w:t>
      </w:r>
    </w:p>
    <w:p w14:paraId="757AAB40" w14:textId="77777777" w:rsidR="00AB18FE" w:rsidRPr="0083231E" w:rsidRDefault="001E1EF7" w:rsidP="00FD65BA">
      <w:pPr>
        <w:pStyle w:val="berschrift1"/>
      </w:pPr>
      <w:r w:rsidRPr="0083231E">
        <w:t>Dieses Sicherheitsdatenblatt erfüllt die Anforderungen der Verordnung (EG) Nr. 1907/2006.</w:t>
      </w:r>
    </w:p>
    <w:p w14:paraId="7E08B147"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2E85FAE3"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64F6A74F"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657D8186"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1ADEED3D"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754004CA"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3404AC19"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324B1885"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05F86D34"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268210ED"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66D00DF1"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56B3B915"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47D02EFF"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18A7DAB6"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7A7E2512" w14:textId="77777777" w:rsidR="007C38A1" w:rsidRPr="0083231E" w:rsidRDefault="007C38A1" w:rsidP="007C38A1">
      <w:pPr>
        <w:pStyle w:val="Listenabsatz"/>
        <w:numPr>
          <w:ilvl w:val="0"/>
          <w:numId w:val="9"/>
        </w:numPr>
        <w:spacing w:before="120" w:after="120" w:line="240" w:lineRule="auto"/>
        <w:contextualSpacing w:val="0"/>
        <w:outlineLvl w:val="3"/>
        <w:rPr>
          <w:rFonts w:ascii="Arial" w:eastAsia="Times New Roman" w:hAnsi="Arial"/>
          <w:b/>
          <w:bCs/>
          <w:vanish/>
          <w:color w:val="000000" w:themeColor="text1"/>
          <w:lang w:eastAsia="de-DE"/>
        </w:rPr>
      </w:pPr>
    </w:p>
    <w:p w14:paraId="54612324" w14:textId="77777777" w:rsidR="00912069" w:rsidRPr="0083231E" w:rsidRDefault="00A30662" w:rsidP="007C38A1">
      <w:pPr>
        <w:pStyle w:val="berschrift4"/>
        <w:numPr>
          <w:ilvl w:val="1"/>
          <w:numId w:val="9"/>
        </w:numPr>
        <w:ind w:left="709" w:hanging="709"/>
      </w:pPr>
      <w:r w:rsidRPr="0083231E">
        <w:t>Vorschriften zu Sicherheit, Gesundheits- und Umweltschutz/spezifische Rechtsvorschriften für den Stoff oder das Gemisch</w:t>
      </w:r>
    </w:p>
    <w:p w14:paraId="2D8E02CE" w14:textId="77777777" w:rsidR="006A3D1B" w:rsidRPr="0083231E" w:rsidRDefault="001E1EF7" w:rsidP="005F7840">
      <w:pPr>
        <w:pStyle w:val="berschrift1"/>
        <w:rPr>
          <w:bCs/>
          <w:sz w:val="16"/>
          <w:szCs w:val="16"/>
        </w:rPr>
      </w:pPr>
      <w:r w:rsidRPr="0083231E">
        <w:t xml:space="preserve">Die beim Umgang mit Chemikalien üblichen Vorsichtsmaßnahmen sind zu beachten. </w:t>
      </w:r>
      <w:r w:rsidR="00912069" w:rsidRPr="0083231E">
        <w:rPr>
          <w:sz w:val="22"/>
          <w:szCs w:val="22"/>
        </w:rPr>
        <w:tab/>
      </w:r>
    </w:p>
    <w:p w14:paraId="3C0E73CD" w14:textId="77777777" w:rsidR="00912069" w:rsidRPr="0083231E" w:rsidRDefault="006A3D1B" w:rsidP="00FD65BA">
      <w:pPr>
        <w:pStyle w:val="berschrift4"/>
        <w:numPr>
          <w:ilvl w:val="1"/>
          <w:numId w:val="9"/>
        </w:numPr>
        <w:ind w:left="709" w:hanging="709"/>
      </w:pPr>
      <w:r w:rsidRPr="0083231E">
        <w:t>Stoffsicherheitsbeurteilung</w:t>
      </w:r>
    </w:p>
    <w:p w14:paraId="117D4695" w14:textId="77777777" w:rsidR="00E561D5" w:rsidRPr="0083231E" w:rsidRDefault="00AF7F5C" w:rsidP="002C1466">
      <w:pPr>
        <w:ind w:firstLine="708"/>
        <w:rPr>
          <w:b/>
          <w:bCs/>
          <w:sz w:val="22"/>
          <w:szCs w:val="22"/>
        </w:rPr>
      </w:pPr>
      <w:r w:rsidRPr="0083231E">
        <w:rPr>
          <w:rStyle w:val="berschrift1Zchn"/>
        </w:rPr>
        <w:t xml:space="preserve">Für dieses Produkt wurde keine </w:t>
      </w:r>
      <w:r w:rsidR="0032333E" w:rsidRPr="0083231E">
        <w:rPr>
          <w:rStyle w:val="berschrift1Zchn"/>
        </w:rPr>
        <w:t>Stoffsicherheitsbeurteilung</w:t>
      </w:r>
      <w:r w:rsidRPr="0083231E">
        <w:rPr>
          <w:rStyle w:val="berschrift1Zchn"/>
        </w:rPr>
        <w:t xml:space="preserve"> durchgeführt.</w:t>
      </w:r>
    </w:p>
    <w:p w14:paraId="0E098412" w14:textId="77777777" w:rsidR="006908A3" w:rsidRPr="0083231E" w:rsidRDefault="006908A3" w:rsidP="005F7840">
      <w:pPr>
        <w:pStyle w:val="Titel"/>
      </w:pPr>
      <w:r w:rsidRPr="0083231E">
        <w:t>___________________________________________________________________________________</w:t>
      </w:r>
      <w:r w:rsidR="00D752EF" w:rsidRPr="0083231E">
        <w:t>___</w:t>
      </w:r>
      <w:r w:rsidR="007E7A92" w:rsidRPr="0083231E">
        <w:t>_</w:t>
      </w:r>
    </w:p>
    <w:p w14:paraId="1E1C5406" w14:textId="77777777" w:rsidR="00E561D5" w:rsidRPr="0083231E" w:rsidRDefault="00AB18FE" w:rsidP="005F7840">
      <w:pPr>
        <w:pStyle w:val="berschrift3"/>
      </w:pPr>
      <w:r w:rsidRPr="0083231E">
        <w:t>ABSCHNITT</w:t>
      </w:r>
      <w:r w:rsidR="002F1645" w:rsidRPr="0083231E">
        <w:t xml:space="preserve">: </w:t>
      </w:r>
      <w:r w:rsidR="00782E5D" w:rsidRPr="0083231E">
        <w:t>Sonstige Hinweise</w:t>
      </w:r>
    </w:p>
    <w:p w14:paraId="3FD02779" w14:textId="77777777" w:rsidR="00B405CB" w:rsidRPr="0083231E" w:rsidRDefault="00B405CB" w:rsidP="005F7840">
      <w:pPr>
        <w:pStyle w:val="berschrift1"/>
      </w:pPr>
      <w:r w:rsidRPr="0083231E">
        <w:t xml:space="preserve">Das Produkt mit Vorsicht handhaben. Eine toxikologische bzw. Ökologische Prüfung steht noch aus. </w:t>
      </w:r>
    </w:p>
    <w:p w14:paraId="2F8716C3" w14:textId="77777777" w:rsidR="00F14D4C" w:rsidRPr="0083231E" w:rsidRDefault="00B405CB" w:rsidP="005F7840">
      <w:pPr>
        <w:pStyle w:val="berschrift1"/>
      </w:pPr>
      <w:r w:rsidRPr="0083231E">
        <w:t>Die Einstufung wurde nach unserem bestem Wissen und Gewissen durchgeführt.</w:t>
      </w:r>
      <w:r w:rsidR="004604CD" w:rsidRPr="0083231E">
        <w:t xml:space="preserve"> Alle Hinweise und Informationen basieren auf unseren Erfahrungen </w:t>
      </w:r>
      <w:r w:rsidR="004F2809" w:rsidRPr="0083231E">
        <w:t>und aktuellen Kenntnissen. D</w:t>
      </w:r>
      <w:r w:rsidR="004604CD" w:rsidRPr="0083231E">
        <w:t>ieses Sicherheitsdatenblatt soll dem Benutzer bzw. der Benutzerin als Leidfaden zur sicheren Handhabung</w:t>
      </w:r>
      <w:r w:rsidR="004F2809" w:rsidRPr="0083231E">
        <w:t>, Lagerung oder für den sicheren Transport</w:t>
      </w:r>
      <w:r w:rsidR="004604CD" w:rsidRPr="0083231E">
        <w:t xml:space="preserve"> des Stoffes dienen. </w:t>
      </w:r>
      <w:r w:rsidR="004F2809" w:rsidRPr="0083231E">
        <w:t>Alle Ang</w:t>
      </w:r>
      <w:r w:rsidR="004604CD" w:rsidRPr="0083231E">
        <w:t xml:space="preserve">aben zum Produkt sind unverbindlich und die Firma HWK </w:t>
      </w:r>
      <w:r w:rsidR="0032333E" w:rsidRPr="0083231E">
        <w:t>schließt</w:t>
      </w:r>
      <w:r w:rsidR="004604CD" w:rsidRPr="0083231E">
        <w:t xml:space="preserve"> jegliche Haftung für Schäden aus, die beim Gebrauch oder im Kontakt mit diesem Produkt auftreten können.</w:t>
      </w:r>
      <w:r w:rsidR="004F2809" w:rsidRPr="0083231E">
        <w:t xml:space="preserve"> Zudem beziehen sich alle Daten ausschließlich auf dieses Produkt und sind nicht übertragbar.</w:t>
      </w:r>
    </w:p>
    <w:p w14:paraId="6C810D74" w14:textId="77777777" w:rsidR="007C38A1" w:rsidRPr="0083231E" w:rsidRDefault="007C38A1" w:rsidP="007C38A1">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2DEE1A72" w14:textId="77777777" w:rsidR="007C38A1" w:rsidRPr="0083231E" w:rsidRDefault="007C38A1" w:rsidP="007C38A1">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22795245" w14:textId="77777777" w:rsidR="007C38A1" w:rsidRPr="0083231E" w:rsidRDefault="007C38A1" w:rsidP="007C38A1">
      <w:pPr>
        <w:pStyle w:val="Listenabsatz"/>
        <w:numPr>
          <w:ilvl w:val="0"/>
          <w:numId w:val="6"/>
        </w:numPr>
        <w:spacing w:before="120" w:after="120" w:line="240" w:lineRule="auto"/>
        <w:contextualSpacing w:val="0"/>
        <w:outlineLvl w:val="3"/>
        <w:rPr>
          <w:rFonts w:ascii="Arial" w:eastAsia="Times New Roman" w:hAnsi="Arial"/>
          <w:b/>
          <w:bCs/>
          <w:vanish/>
          <w:color w:val="000000" w:themeColor="text1"/>
          <w:lang w:eastAsia="de-DE"/>
        </w:rPr>
      </w:pPr>
    </w:p>
    <w:p w14:paraId="2355E627" w14:textId="77777777" w:rsidR="002A1652" w:rsidRPr="0083231E" w:rsidRDefault="006517AA" w:rsidP="007C38A1">
      <w:pPr>
        <w:pStyle w:val="berschrift4"/>
      </w:pPr>
      <w:r w:rsidRPr="0083231E">
        <w:t>Abkürzungen und Akronyme</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7036"/>
      </w:tblGrid>
      <w:tr w:rsidR="00BB34B0" w:rsidRPr="00C24929" w14:paraId="4E8599F7" w14:textId="77777777" w:rsidTr="00B13CD3">
        <w:tc>
          <w:tcPr>
            <w:tcW w:w="1982" w:type="dxa"/>
          </w:tcPr>
          <w:p w14:paraId="316B2BC7" w14:textId="77777777" w:rsidR="00BB34B0" w:rsidRPr="0083231E" w:rsidRDefault="00BB34B0" w:rsidP="005F7840">
            <w:pPr>
              <w:pStyle w:val="KeinLeerraum"/>
            </w:pPr>
            <w:r w:rsidRPr="0083231E">
              <w:t>REACH:</w:t>
            </w:r>
          </w:p>
        </w:tc>
        <w:tc>
          <w:tcPr>
            <w:tcW w:w="7036" w:type="dxa"/>
          </w:tcPr>
          <w:p w14:paraId="777B4150" w14:textId="77777777" w:rsidR="00BB34B0" w:rsidRPr="0083231E" w:rsidRDefault="00BB34B0" w:rsidP="005F7840">
            <w:pPr>
              <w:pStyle w:val="KeinLeerraum"/>
              <w:rPr>
                <w:lang w:val="en-GB"/>
              </w:rPr>
            </w:pPr>
            <w:r w:rsidRPr="0083231E">
              <w:rPr>
                <w:lang w:val="en-GB"/>
              </w:rPr>
              <w:t>Registration, Evaluation, Authorisation of Chemicals</w:t>
            </w:r>
          </w:p>
        </w:tc>
      </w:tr>
      <w:tr w:rsidR="004D7895" w:rsidRPr="0083231E" w14:paraId="766F8828" w14:textId="77777777" w:rsidTr="00B13CD3">
        <w:tc>
          <w:tcPr>
            <w:tcW w:w="1982" w:type="dxa"/>
          </w:tcPr>
          <w:p w14:paraId="767074F7" w14:textId="77777777" w:rsidR="004D7895" w:rsidRPr="0083231E" w:rsidRDefault="004D7895" w:rsidP="005F7840">
            <w:pPr>
              <w:pStyle w:val="KeinLeerraum"/>
            </w:pPr>
            <w:r w:rsidRPr="0083231E">
              <w:t>EG:</w:t>
            </w:r>
          </w:p>
        </w:tc>
        <w:tc>
          <w:tcPr>
            <w:tcW w:w="7036" w:type="dxa"/>
          </w:tcPr>
          <w:p w14:paraId="53441892" w14:textId="77777777" w:rsidR="004D7895" w:rsidRPr="0083231E" w:rsidRDefault="004D7895" w:rsidP="005F7840">
            <w:pPr>
              <w:pStyle w:val="KeinLeerraum"/>
              <w:rPr>
                <w:lang w:val="en-GB"/>
              </w:rPr>
            </w:pPr>
            <w:proofErr w:type="spellStart"/>
            <w:r w:rsidRPr="0083231E">
              <w:rPr>
                <w:lang w:val="en-GB"/>
              </w:rPr>
              <w:t>Europäische</w:t>
            </w:r>
            <w:proofErr w:type="spellEnd"/>
            <w:r w:rsidRPr="0083231E">
              <w:t xml:space="preserve"> Gemeinschaft</w:t>
            </w:r>
          </w:p>
        </w:tc>
      </w:tr>
      <w:tr w:rsidR="004D7895" w:rsidRPr="0083231E" w14:paraId="1C3BFB53" w14:textId="77777777" w:rsidTr="00B13CD3">
        <w:tc>
          <w:tcPr>
            <w:tcW w:w="1982" w:type="dxa"/>
          </w:tcPr>
          <w:p w14:paraId="2FC74EAF" w14:textId="77777777" w:rsidR="004D7895" w:rsidRPr="0083231E" w:rsidRDefault="004D7895" w:rsidP="005F7840">
            <w:pPr>
              <w:pStyle w:val="KeinLeerraum"/>
            </w:pPr>
            <w:r w:rsidRPr="0083231E">
              <w:t>EN:</w:t>
            </w:r>
          </w:p>
        </w:tc>
        <w:tc>
          <w:tcPr>
            <w:tcW w:w="7036" w:type="dxa"/>
          </w:tcPr>
          <w:p w14:paraId="0C2255A3" w14:textId="77777777" w:rsidR="004D7895" w:rsidRPr="0083231E" w:rsidRDefault="004D7895" w:rsidP="005F7840">
            <w:pPr>
              <w:pStyle w:val="KeinLeerraum"/>
              <w:rPr>
                <w:lang w:val="en-GB"/>
              </w:rPr>
            </w:pPr>
            <w:r w:rsidRPr="0083231E">
              <w:t>Europäische</w:t>
            </w:r>
            <w:r w:rsidRPr="0083231E">
              <w:rPr>
                <w:lang w:val="en-GB"/>
              </w:rPr>
              <w:t xml:space="preserve"> Norm</w:t>
            </w:r>
          </w:p>
        </w:tc>
      </w:tr>
      <w:tr w:rsidR="004D7895" w:rsidRPr="0083231E" w14:paraId="5D37EAD2" w14:textId="77777777" w:rsidTr="00B13CD3">
        <w:tc>
          <w:tcPr>
            <w:tcW w:w="1982" w:type="dxa"/>
          </w:tcPr>
          <w:p w14:paraId="44255FF7" w14:textId="77777777" w:rsidR="004D7895" w:rsidRPr="0083231E" w:rsidRDefault="004D7895" w:rsidP="005F7840">
            <w:pPr>
              <w:pStyle w:val="KeinLeerraum"/>
            </w:pPr>
            <w:r w:rsidRPr="0083231E">
              <w:t>EWG:</w:t>
            </w:r>
          </w:p>
        </w:tc>
        <w:tc>
          <w:tcPr>
            <w:tcW w:w="7036" w:type="dxa"/>
          </w:tcPr>
          <w:p w14:paraId="68DF6523" w14:textId="77777777" w:rsidR="004D7895" w:rsidRPr="0083231E" w:rsidRDefault="004D7895" w:rsidP="005F7840">
            <w:pPr>
              <w:pStyle w:val="KeinLeerraum"/>
              <w:rPr>
                <w:lang w:val="en-GB"/>
              </w:rPr>
            </w:pPr>
            <w:r w:rsidRPr="0083231E">
              <w:t>Europäische Wirtschaftsgemeinschaft</w:t>
            </w:r>
          </w:p>
        </w:tc>
      </w:tr>
      <w:tr w:rsidR="00BB34B0" w:rsidRPr="00C24929" w14:paraId="3E203567" w14:textId="77777777" w:rsidTr="00B13CD3">
        <w:tc>
          <w:tcPr>
            <w:tcW w:w="1982" w:type="dxa"/>
          </w:tcPr>
          <w:p w14:paraId="453864D6" w14:textId="77777777" w:rsidR="00BB34B0" w:rsidRPr="0083231E" w:rsidRDefault="00BB34B0" w:rsidP="005F7840">
            <w:pPr>
              <w:pStyle w:val="KeinLeerraum"/>
            </w:pPr>
            <w:r w:rsidRPr="0083231E">
              <w:t>CLP:</w:t>
            </w:r>
          </w:p>
        </w:tc>
        <w:tc>
          <w:tcPr>
            <w:tcW w:w="7036" w:type="dxa"/>
          </w:tcPr>
          <w:p w14:paraId="1F814AD3" w14:textId="77777777" w:rsidR="00BB34B0" w:rsidRPr="0083231E" w:rsidRDefault="00BB34B0" w:rsidP="005F7840">
            <w:pPr>
              <w:pStyle w:val="KeinLeerraum"/>
              <w:rPr>
                <w:lang w:val="en-GB"/>
              </w:rPr>
            </w:pPr>
            <w:r w:rsidRPr="0083231E">
              <w:rPr>
                <w:lang w:val="en-GB"/>
              </w:rPr>
              <w:t>Classification, Labelling, Packaging of Chemicals</w:t>
            </w:r>
          </w:p>
        </w:tc>
      </w:tr>
      <w:tr w:rsidR="00BB34B0" w:rsidRPr="0083231E" w14:paraId="70CC5BD7" w14:textId="77777777" w:rsidTr="00B13CD3">
        <w:tc>
          <w:tcPr>
            <w:tcW w:w="1982" w:type="dxa"/>
          </w:tcPr>
          <w:p w14:paraId="74AD8575" w14:textId="77777777" w:rsidR="00BB34B0" w:rsidRPr="0083231E" w:rsidRDefault="00BB34B0" w:rsidP="005F7840">
            <w:pPr>
              <w:pStyle w:val="KeinLeerraum"/>
            </w:pPr>
            <w:r w:rsidRPr="0083231E">
              <w:t>MAK:</w:t>
            </w:r>
          </w:p>
        </w:tc>
        <w:tc>
          <w:tcPr>
            <w:tcW w:w="7036" w:type="dxa"/>
          </w:tcPr>
          <w:p w14:paraId="3FE5DFED" w14:textId="77777777" w:rsidR="00BB34B0" w:rsidRPr="0083231E" w:rsidRDefault="00BB34B0" w:rsidP="005F7840">
            <w:pPr>
              <w:pStyle w:val="KeinLeerraum"/>
              <w:rPr>
                <w:lang w:val="en-GB"/>
              </w:rPr>
            </w:pPr>
            <w:r w:rsidRPr="0083231E">
              <w:t>Maximale Arbeitsplatzkonzentration</w:t>
            </w:r>
          </w:p>
        </w:tc>
      </w:tr>
      <w:tr w:rsidR="004D7895" w:rsidRPr="00C24929" w14:paraId="7B771250" w14:textId="77777777" w:rsidTr="00B13CD3">
        <w:tc>
          <w:tcPr>
            <w:tcW w:w="1982" w:type="dxa"/>
          </w:tcPr>
          <w:p w14:paraId="6AEC31A7" w14:textId="77777777" w:rsidR="004D7895" w:rsidRPr="0083231E" w:rsidRDefault="004D7895" w:rsidP="005F7840">
            <w:pPr>
              <w:pStyle w:val="KeinLeerraum"/>
            </w:pPr>
            <w:r w:rsidRPr="0083231E">
              <w:t>NIOSH:</w:t>
            </w:r>
          </w:p>
        </w:tc>
        <w:tc>
          <w:tcPr>
            <w:tcW w:w="7036" w:type="dxa"/>
          </w:tcPr>
          <w:p w14:paraId="0239B8E6" w14:textId="77777777" w:rsidR="004D7895" w:rsidRPr="0083231E" w:rsidRDefault="004D7895" w:rsidP="005F7840">
            <w:pPr>
              <w:pStyle w:val="KeinLeerraum"/>
              <w:rPr>
                <w:lang w:val="en-GB"/>
              </w:rPr>
            </w:pPr>
            <w:r w:rsidRPr="0083231E">
              <w:rPr>
                <w:lang w:val="en-GB"/>
              </w:rPr>
              <w:t>National Institute for Occupational Safety and Health</w:t>
            </w:r>
          </w:p>
        </w:tc>
      </w:tr>
      <w:tr w:rsidR="002A1652" w:rsidRPr="00C24929" w14:paraId="3DBBCC4A" w14:textId="77777777" w:rsidTr="00B13CD3">
        <w:tc>
          <w:tcPr>
            <w:tcW w:w="1982" w:type="dxa"/>
          </w:tcPr>
          <w:p w14:paraId="22068133" w14:textId="77777777" w:rsidR="002A1652" w:rsidRPr="0083231E" w:rsidRDefault="002A1652" w:rsidP="005F7840">
            <w:pPr>
              <w:pStyle w:val="KeinLeerraum"/>
              <w:rPr>
                <w:bCs/>
                <w:lang w:val="fr-029"/>
              </w:rPr>
            </w:pPr>
            <w:r w:rsidRPr="0083231E">
              <w:lastRenderedPageBreak/>
              <w:t>RID:</w:t>
            </w:r>
          </w:p>
        </w:tc>
        <w:tc>
          <w:tcPr>
            <w:tcW w:w="7036" w:type="dxa"/>
          </w:tcPr>
          <w:p w14:paraId="6E974EED" w14:textId="77777777" w:rsidR="002A1652" w:rsidRPr="00C24929" w:rsidRDefault="002A1652" w:rsidP="005F7840">
            <w:pPr>
              <w:pStyle w:val="KeinLeerraum"/>
              <w:rPr>
                <w:bCs/>
                <w:lang w:val="fr-029"/>
              </w:rPr>
            </w:pPr>
            <w:r w:rsidRPr="0083231E">
              <w:rPr>
                <w:lang w:val="fr-029"/>
              </w:rPr>
              <w:t>Règlement</w:t>
            </w:r>
            <w:r w:rsidRPr="00C24929">
              <w:rPr>
                <w:lang w:val="fr-029"/>
              </w:rPr>
              <w:t xml:space="preserve"> international</w:t>
            </w:r>
            <w:r w:rsidRPr="0083231E">
              <w:rPr>
                <w:lang w:val="fr-FR"/>
              </w:rPr>
              <w:t xml:space="preserve"> concernant</w:t>
            </w:r>
            <w:r w:rsidRPr="00C24929">
              <w:rPr>
                <w:lang w:val="fr-029"/>
              </w:rPr>
              <w:t xml:space="preserve"> le transport des</w:t>
            </w:r>
            <w:r w:rsidRPr="0083231E">
              <w:rPr>
                <w:lang w:val="fr-FR"/>
              </w:rPr>
              <w:t xml:space="preserve"> marchandises dangereuses</w:t>
            </w:r>
            <w:r w:rsidRPr="00C24929">
              <w:rPr>
                <w:lang w:val="fr-029"/>
              </w:rPr>
              <w:t xml:space="preserve"> par</w:t>
            </w:r>
            <w:r w:rsidRPr="0083231E">
              <w:rPr>
                <w:lang w:val="fr-FR"/>
              </w:rPr>
              <w:t xml:space="preserve"> chemin</w:t>
            </w:r>
            <w:r w:rsidRPr="00C24929">
              <w:rPr>
                <w:lang w:val="fr-029"/>
              </w:rPr>
              <w:t xml:space="preserve"> de</w:t>
            </w:r>
            <w:r w:rsidRPr="0083231E">
              <w:rPr>
                <w:lang w:val="fr-FR"/>
              </w:rPr>
              <w:t xml:space="preserve"> fer</w:t>
            </w:r>
            <w:r w:rsidRPr="00C24929">
              <w:rPr>
                <w:lang w:val="fr-029"/>
              </w:rPr>
              <w:t xml:space="preserve"> (</w:t>
            </w:r>
            <w:proofErr w:type="spellStart"/>
            <w:r w:rsidRPr="00C24929">
              <w:rPr>
                <w:lang w:val="fr-029"/>
              </w:rPr>
              <w:t>Regulations</w:t>
            </w:r>
            <w:proofErr w:type="spellEnd"/>
            <w:r w:rsidRPr="00C24929">
              <w:rPr>
                <w:lang w:val="fr-029"/>
              </w:rPr>
              <w:t xml:space="preserve"> </w:t>
            </w:r>
            <w:proofErr w:type="spellStart"/>
            <w:r w:rsidRPr="00C24929">
              <w:rPr>
                <w:lang w:val="fr-029"/>
              </w:rPr>
              <w:t>Concerning</w:t>
            </w:r>
            <w:proofErr w:type="spellEnd"/>
            <w:r w:rsidRPr="00C24929">
              <w:rPr>
                <w:lang w:val="fr-029"/>
              </w:rPr>
              <w:t xml:space="preserve"> the International Transport of Dangerous Goods by Rail)</w:t>
            </w:r>
          </w:p>
        </w:tc>
      </w:tr>
      <w:tr w:rsidR="002A1652" w:rsidRPr="0083231E" w14:paraId="6E1D112F" w14:textId="77777777" w:rsidTr="00B13CD3">
        <w:tc>
          <w:tcPr>
            <w:tcW w:w="1982" w:type="dxa"/>
          </w:tcPr>
          <w:p w14:paraId="689905D4" w14:textId="77777777" w:rsidR="002A1652" w:rsidRPr="0083231E" w:rsidRDefault="002A1652" w:rsidP="005F7840">
            <w:pPr>
              <w:pStyle w:val="KeinLeerraum"/>
              <w:rPr>
                <w:bCs/>
              </w:rPr>
            </w:pPr>
            <w:r w:rsidRPr="0083231E">
              <w:t>ICAO:</w:t>
            </w:r>
          </w:p>
        </w:tc>
        <w:tc>
          <w:tcPr>
            <w:tcW w:w="7036" w:type="dxa"/>
          </w:tcPr>
          <w:p w14:paraId="518172C7" w14:textId="77777777" w:rsidR="002A1652" w:rsidRPr="0083231E" w:rsidRDefault="002A1652" w:rsidP="005F7840">
            <w:pPr>
              <w:pStyle w:val="KeinLeerraum"/>
            </w:pPr>
            <w:r w:rsidRPr="0083231E">
              <w:t>International</w:t>
            </w:r>
            <w:r w:rsidRPr="0083231E">
              <w:rPr>
                <w:lang w:val="fr-FR"/>
              </w:rPr>
              <w:t xml:space="preserve"> Civil</w:t>
            </w:r>
            <w:r w:rsidRPr="0083231E">
              <w:t xml:space="preserve"> Aviation</w:t>
            </w:r>
            <w:r w:rsidRPr="0083231E">
              <w:rPr>
                <w:lang w:val="en-GB"/>
              </w:rPr>
              <w:t xml:space="preserve"> Organization</w:t>
            </w:r>
          </w:p>
        </w:tc>
      </w:tr>
      <w:tr w:rsidR="002A1652" w:rsidRPr="0083231E" w14:paraId="32628CF5" w14:textId="77777777" w:rsidTr="00B13CD3">
        <w:tc>
          <w:tcPr>
            <w:tcW w:w="1982" w:type="dxa"/>
          </w:tcPr>
          <w:p w14:paraId="6C29308E" w14:textId="77777777" w:rsidR="002A1652" w:rsidRPr="0083231E" w:rsidRDefault="002A1652" w:rsidP="005F7840">
            <w:pPr>
              <w:pStyle w:val="KeinLeerraum"/>
              <w:rPr>
                <w:bCs/>
              </w:rPr>
            </w:pPr>
            <w:r w:rsidRPr="0083231E">
              <w:t>ADR:</w:t>
            </w:r>
          </w:p>
        </w:tc>
        <w:tc>
          <w:tcPr>
            <w:tcW w:w="7036" w:type="dxa"/>
          </w:tcPr>
          <w:p w14:paraId="0338BACA" w14:textId="77777777" w:rsidR="002A1652" w:rsidRPr="00C24929" w:rsidRDefault="002A1652" w:rsidP="005F7840">
            <w:pPr>
              <w:pStyle w:val="KeinLeerraum"/>
              <w:rPr>
                <w:bCs/>
              </w:rPr>
            </w:pPr>
            <w:r w:rsidRPr="00C24929">
              <w:t xml:space="preserve">Accord </w:t>
            </w:r>
            <w:proofErr w:type="spellStart"/>
            <w:r w:rsidRPr="00C24929">
              <w:t>européen</w:t>
            </w:r>
            <w:proofErr w:type="spellEnd"/>
            <w:r w:rsidRPr="00C24929">
              <w:t xml:space="preserve"> </w:t>
            </w:r>
            <w:proofErr w:type="spellStart"/>
            <w:r w:rsidRPr="00C24929">
              <w:t>sur</w:t>
            </w:r>
            <w:proofErr w:type="spellEnd"/>
            <w:r w:rsidRPr="00C24929">
              <w:t xml:space="preserve"> le </w:t>
            </w:r>
            <w:proofErr w:type="spellStart"/>
            <w:r w:rsidRPr="00C24929">
              <w:t>transport</w:t>
            </w:r>
            <w:proofErr w:type="spellEnd"/>
            <w:r w:rsidRPr="00C24929">
              <w:t xml:space="preserve"> des </w:t>
            </w:r>
            <w:proofErr w:type="spellStart"/>
            <w:r w:rsidRPr="00C24929">
              <w:t>marchandises</w:t>
            </w:r>
            <w:proofErr w:type="spellEnd"/>
            <w:r w:rsidRPr="00C24929">
              <w:t xml:space="preserve"> </w:t>
            </w:r>
            <w:proofErr w:type="spellStart"/>
            <w:r w:rsidRPr="00C24929">
              <w:t>dangereuses</w:t>
            </w:r>
            <w:proofErr w:type="spellEnd"/>
            <w:r w:rsidRPr="00C24929">
              <w:t xml:space="preserve"> par Route (European Agreement </w:t>
            </w:r>
            <w:proofErr w:type="spellStart"/>
            <w:r w:rsidRPr="00C24929">
              <w:t>concerning</w:t>
            </w:r>
            <w:proofErr w:type="spellEnd"/>
            <w:r w:rsidRPr="00C24929">
              <w:t xml:space="preserve"> </w:t>
            </w:r>
            <w:proofErr w:type="spellStart"/>
            <w:r w:rsidRPr="00C24929">
              <w:t>the</w:t>
            </w:r>
            <w:proofErr w:type="spellEnd"/>
            <w:r w:rsidRPr="00C24929">
              <w:t xml:space="preserve"> International </w:t>
            </w:r>
            <w:proofErr w:type="spellStart"/>
            <w:r w:rsidRPr="00C24929">
              <w:t>Carriage</w:t>
            </w:r>
            <w:proofErr w:type="spellEnd"/>
            <w:r w:rsidRPr="00C24929">
              <w:t xml:space="preserve"> </w:t>
            </w:r>
            <w:proofErr w:type="spellStart"/>
            <w:r w:rsidRPr="00C24929">
              <w:t>of</w:t>
            </w:r>
            <w:proofErr w:type="spellEnd"/>
            <w:r w:rsidRPr="00C24929">
              <w:t xml:space="preserve"> </w:t>
            </w:r>
            <w:proofErr w:type="spellStart"/>
            <w:r w:rsidRPr="00C24929">
              <w:t>Dangerous</w:t>
            </w:r>
            <w:proofErr w:type="spellEnd"/>
            <w:r w:rsidRPr="00C24929">
              <w:t xml:space="preserve"> </w:t>
            </w:r>
            <w:proofErr w:type="spellStart"/>
            <w:r w:rsidRPr="00C24929">
              <w:t>Goods</w:t>
            </w:r>
            <w:proofErr w:type="spellEnd"/>
            <w:r w:rsidRPr="00C24929">
              <w:t xml:space="preserve"> </w:t>
            </w:r>
            <w:proofErr w:type="spellStart"/>
            <w:r w:rsidRPr="00C24929">
              <w:t>by</w:t>
            </w:r>
            <w:proofErr w:type="spellEnd"/>
            <w:r w:rsidRPr="00C24929">
              <w:t xml:space="preserve"> Road)</w:t>
            </w:r>
          </w:p>
        </w:tc>
      </w:tr>
      <w:tr w:rsidR="002A1652" w:rsidRPr="0083231E" w14:paraId="71B50FDE" w14:textId="77777777" w:rsidTr="00B13CD3">
        <w:tc>
          <w:tcPr>
            <w:tcW w:w="1982" w:type="dxa"/>
          </w:tcPr>
          <w:p w14:paraId="09C667FB" w14:textId="77777777" w:rsidR="002A1652" w:rsidRPr="0083231E" w:rsidRDefault="002A1652" w:rsidP="005F7840">
            <w:pPr>
              <w:pStyle w:val="KeinLeerraum"/>
              <w:rPr>
                <w:bCs/>
              </w:rPr>
            </w:pPr>
            <w:r w:rsidRPr="0083231E">
              <w:t>IMDG:</w:t>
            </w:r>
          </w:p>
        </w:tc>
        <w:tc>
          <w:tcPr>
            <w:tcW w:w="7036" w:type="dxa"/>
          </w:tcPr>
          <w:p w14:paraId="1B8FAB8D" w14:textId="77777777" w:rsidR="002A1652" w:rsidRPr="0083231E" w:rsidRDefault="002A1652" w:rsidP="005F7840">
            <w:pPr>
              <w:pStyle w:val="KeinLeerraum"/>
              <w:rPr>
                <w:lang w:val="en-GB"/>
              </w:rPr>
            </w:pPr>
            <w:r w:rsidRPr="0083231E">
              <w:rPr>
                <w:lang w:val="en-GB"/>
              </w:rPr>
              <w:t>International Maritime Code for Dangerous Goods</w:t>
            </w:r>
          </w:p>
        </w:tc>
      </w:tr>
      <w:tr w:rsidR="002A1652" w:rsidRPr="0083231E" w14:paraId="05BE6215" w14:textId="77777777" w:rsidTr="00B13CD3">
        <w:tc>
          <w:tcPr>
            <w:tcW w:w="1982" w:type="dxa"/>
          </w:tcPr>
          <w:p w14:paraId="4A2EBB13" w14:textId="77777777" w:rsidR="002A1652" w:rsidRPr="0083231E" w:rsidRDefault="002A1652" w:rsidP="005F7840">
            <w:pPr>
              <w:pStyle w:val="KeinLeerraum"/>
            </w:pPr>
            <w:r w:rsidRPr="0083231E">
              <w:t>IATA:</w:t>
            </w:r>
          </w:p>
        </w:tc>
        <w:tc>
          <w:tcPr>
            <w:tcW w:w="7036" w:type="dxa"/>
          </w:tcPr>
          <w:p w14:paraId="7DCB9274" w14:textId="77777777" w:rsidR="002A1652" w:rsidRPr="0083231E" w:rsidRDefault="002A1652" w:rsidP="005F7840">
            <w:pPr>
              <w:pStyle w:val="KeinLeerraum"/>
            </w:pPr>
            <w:r w:rsidRPr="0083231E">
              <w:t>International Air Transport</w:t>
            </w:r>
            <w:r w:rsidRPr="0083231E">
              <w:rPr>
                <w:lang w:val="en-GB"/>
              </w:rPr>
              <w:t xml:space="preserve"> Association</w:t>
            </w:r>
          </w:p>
        </w:tc>
      </w:tr>
      <w:tr w:rsidR="002A1652" w:rsidRPr="00C24929" w14:paraId="3CC80179" w14:textId="77777777" w:rsidTr="00B13CD3">
        <w:tc>
          <w:tcPr>
            <w:tcW w:w="1982" w:type="dxa"/>
          </w:tcPr>
          <w:p w14:paraId="73C56F81" w14:textId="77777777" w:rsidR="002A1652" w:rsidRPr="0083231E" w:rsidRDefault="002A1652" w:rsidP="005F7840">
            <w:pPr>
              <w:pStyle w:val="KeinLeerraum"/>
            </w:pPr>
            <w:r w:rsidRPr="0083231E">
              <w:t>GHS:</w:t>
            </w:r>
          </w:p>
        </w:tc>
        <w:tc>
          <w:tcPr>
            <w:tcW w:w="7036" w:type="dxa"/>
          </w:tcPr>
          <w:p w14:paraId="7853AAAF" w14:textId="77777777" w:rsidR="002A1652" w:rsidRPr="0083231E" w:rsidRDefault="002A1652" w:rsidP="005F7840">
            <w:pPr>
              <w:pStyle w:val="KeinLeerraum"/>
              <w:rPr>
                <w:lang w:val="en-GB"/>
              </w:rPr>
            </w:pPr>
            <w:r w:rsidRPr="0083231E">
              <w:rPr>
                <w:lang w:val="en-GB"/>
              </w:rPr>
              <w:t>Globally Harmonized System of Classification and Labelling of Chemicals</w:t>
            </w:r>
          </w:p>
        </w:tc>
      </w:tr>
      <w:tr w:rsidR="002A1652" w:rsidRPr="00C24929" w14:paraId="04BBD7CB" w14:textId="77777777" w:rsidTr="00B13CD3">
        <w:tc>
          <w:tcPr>
            <w:tcW w:w="1982" w:type="dxa"/>
          </w:tcPr>
          <w:p w14:paraId="5FED4936" w14:textId="77777777" w:rsidR="002A1652" w:rsidRPr="0083231E" w:rsidRDefault="002A1652" w:rsidP="005F7840">
            <w:pPr>
              <w:pStyle w:val="KeinLeerraum"/>
              <w:rPr>
                <w:lang w:val="en-GB"/>
              </w:rPr>
            </w:pPr>
            <w:r w:rsidRPr="0083231E">
              <w:rPr>
                <w:lang w:val="en-GB"/>
              </w:rPr>
              <w:t>EINECS:</w:t>
            </w:r>
          </w:p>
        </w:tc>
        <w:tc>
          <w:tcPr>
            <w:tcW w:w="7036" w:type="dxa"/>
          </w:tcPr>
          <w:p w14:paraId="2D1E76AF" w14:textId="77777777" w:rsidR="002A1652" w:rsidRPr="0083231E" w:rsidRDefault="002A1652" w:rsidP="005F7840">
            <w:pPr>
              <w:pStyle w:val="KeinLeerraum"/>
              <w:rPr>
                <w:lang w:val="en-GB"/>
              </w:rPr>
            </w:pPr>
            <w:r w:rsidRPr="0083231E">
              <w:rPr>
                <w:lang w:val="en-GB"/>
              </w:rPr>
              <w:t>European Inventory of Existing Commercial Chemical Substances</w:t>
            </w:r>
          </w:p>
        </w:tc>
      </w:tr>
      <w:tr w:rsidR="002A1652" w:rsidRPr="00C24929" w14:paraId="4CDE9D53" w14:textId="77777777" w:rsidTr="00B13CD3">
        <w:tc>
          <w:tcPr>
            <w:tcW w:w="1982" w:type="dxa"/>
          </w:tcPr>
          <w:p w14:paraId="35522D69" w14:textId="77777777" w:rsidR="002A1652" w:rsidRPr="0083231E" w:rsidRDefault="002A1652" w:rsidP="005F7840">
            <w:pPr>
              <w:pStyle w:val="KeinLeerraum"/>
              <w:rPr>
                <w:lang w:val="en-GB"/>
              </w:rPr>
            </w:pPr>
            <w:r w:rsidRPr="0083231E">
              <w:rPr>
                <w:lang w:val="en-GB"/>
              </w:rPr>
              <w:t>CAS:</w:t>
            </w:r>
          </w:p>
        </w:tc>
        <w:tc>
          <w:tcPr>
            <w:tcW w:w="7036" w:type="dxa"/>
          </w:tcPr>
          <w:p w14:paraId="2CA4E47F" w14:textId="77777777" w:rsidR="002A1652" w:rsidRPr="0083231E" w:rsidRDefault="002A1652" w:rsidP="005F7840">
            <w:pPr>
              <w:pStyle w:val="KeinLeerraum"/>
              <w:rPr>
                <w:lang w:val="en-GB"/>
              </w:rPr>
            </w:pPr>
            <w:r w:rsidRPr="0083231E">
              <w:rPr>
                <w:lang w:val="en-GB"/>
              </w:rPr>
              <w:t>Chemical Abstracts Service (division of the American Chemical Society)</w:t>
            </w:r>
          </w:p>
        </w:tc>
      </w:tr>
      <w:tr w:rsidR="002A1652" w:rsidRPr="0083231E" w14:paraId="4CAD06C6" w14:textId="77777777" w:rsidTr="00B13CD3">
        <w:tc>
          <w:tcPr>
            <w:tcW w:w="1982" w:type="dxa"/>
          </w:tcPr>
          <w:p w14:paraId="1346540B" w14:textId="77777777" w:rsidR="002A1652" w:rsidRPr="0083231E" w:rsidRDefault="002A1652" w:rsidP="005F7840">
            <w:pPr>
              <w:pStyle w:val="KeinLeerraum"/>
              <w:rPr>
                <w:lang w:val="en-GB"/>
              </w:rPr>
            </w:pPr>
            <w:r w:rsidRPr="0083231E">
              <w:rPr>
                <w:lang w:val="en-GB"/>
              </w:rPr>
              <w:t>LC</w:t>
            </w:r>
            <w:r w:rsidRPr="0083231E">
              <w:rPr>
                <w:vertAlign w:val="subscript"/>
                <w:lang w:val="en-GB"/>
              </w:rPr>
              <w:t>50</w:t>
            </w:r>
            <w:r w:rsidRPr="0083231E">
              <w:rPr>
                <w:lang w:val="en-GB"/>
              </w:rPr>
              <w:t>:</w:t>
            </w:r>
          </w:p>
        </w:tc>
        <w:tc>
          <w:tcPr>
            <w:tcW w:w="7036" w:type="dxa"/>
          </w:tcPr>
          <w:p w14:paraId="0C12EA23" w14:textId="77777777" w:rsidR="002A1652" w:rsidRPr="0083231E" w:rsidRDefault="002A1652" w:rsidP="005F7840">
            <w:pPr>
              <w:pStyle w:val="KeinLeerraum"/>
              <w:rPr>
                <w:lang w:val="en-GB"/>
              </w:rPr>
            </w:pPr>
            <w:r w:rsidRPr="0083231E">
              <w:rPr>
                <w:lang w:val="en-GB"/>
              </w:rPr>
              <w:t>Lethal concentration, 50 percent</w:t>
            </w:r>
          </w:p>
        </w:tc>
      </w:tr>
      <w:tr w:rsidR="00BB34B0" w:rsidRPr="0083231E" w14:paraId="36A4FAD8" w14:textId="77777777" w:rsidTr="00B13CD3">
        <w:tc>
          <w:tcPr>
            <w:tcW w:w="1982" w:type="dxa"/>
          </w:tcPr>
          <w:p w14:paraId="24E9AD67" w14:textId="77777777" w:rsidR="00BB34B0" w:rsidRPr="0083231E" w:rsidRDefault="00BB34B0" w:rsidP="005F7840">
            <w:pPr>
              <w:pStyle w:val="KeinLeerraum"/>
              <w:rPr>
                <w:lang w:val="en-GB"/>
              </w:rPr>
            </w:pPr>
            <w:r w:rsidRPr="0083231E">
              <w:rPr>
                <w:lang w:val="en-GB"/>
              </w:rPr>
              <w:t>LD</w:t>
            </w:r>
            <w:r w:rsidRPr="0083231E">
              <w:rPr>
                <w:vertAlign w:val="subscript"/>
                <w:lang w:val="en-GB"/>
              </w:rPr>
              <w:t>50</w:t>
            </w:r>
            <w:r w:rsidRPr="0083231E">
              <w:rPr>
                <w:lang w:val="en-GB"/>
              </w:rPr>
              <w:t>:</w:t>
            </w:r>
          </w:p>
        </w:tc>
        <w:tc>
          <w:tcPr>
            <w:tcW w:w="7036" w:type="dxa"/>
          </w:tcPr>
          <w:p w14:paraId="33AE093B" w14:textId="77777777" w:rsidR="00BB34B0" w:rsidRPr="0083231E" w:rsidRDefault="00BB34B0" w:rsidP="005F7840">
            <w:pPr>
              <w:pStyle w:val="KeinLeerraum"/>
              <w:rPr>
                <w:lang w:val="en-GB"/>
              </w:rPr>
            </w:pPr>
            <w:r w:rsidRPr="0083231E">
              <w:rPr>
                <w:lang w:val="en-GB"/>
              </w:rPr>
              <w:t>Lethal dose, 50 percent</w:t>
            </w:r>
          </w:p>
        </w:tc>
      </w:tr>
      <w:tr w:rsidR="004D7895" w:rsidRPr="0083231E" w14:paraId="54ADD77C" w14:textId="77777777" w:rsidTr="00B13CD3">
        <w:tc>
          <w:tcPr>
            <w:tcW w:w="1982" w:type="dxa"/>
          </w:tcPr>
          <w:p w14:paraId="72380536" w14:textId="77777777" w:rsidR="004D7895" w:rsidRPr="0083231E" w:rsidRDefault="004D7895" w:rsidP="005F7840">
            <w:pPr>
              <w:pStyle w:val="KeinLeerraum"/>
              <w:rPr>
                <w:lang w:val="en-GB"/>
              </w:rPr>
            </w:pPr>
            <w:r w:rsidRPr="0083231E">
              <w:rPr>
                <w:lang w:val="en-GB"/>
              </w:rPr>
              <w:t>PBT:</w:t>
            </w:r>
          </w:p>
        </w:tc>
        <w:tc>
          <w:tcPr>
            <w:tcW w:w="7036" w:type="dxa"/>
          </w:tcPr>
          <w:p w14:paraId="6A2CD32A" w14:textId="77777777" w:rsidR="004D7895" w:rsidRPr="0083231E" w:rsidRDefault="004D7895" w:rsidP="005F7840">
            <w:pPr>
              <w:pStyle w:val="KeinLeerraum"/>
              <w:rPr>
                <w:lang w:val="en-GB"/>
              </w:rPr>
            </w:pPr>
            <w:r w:rsidRPr="0083231E">
              <w:rPr>
                <w:lang w:val="en-GB"/>
              </w:rPr>
              <w:t>Persistent,</w:t>
            </w:r>
            <w:r w:rsidRPr="0083231E">
              <w:rPr>
                <w:lang w:val="de-DE"/>
              </w:rPr>
              <w:t xml:space="preserve"> Bioakkumulierend</w:t>
            </w:r>
            <w:r w:rsidRPr="0083231E">
              <w:rPr>
                <w:lang w:val="en-GB"/>
              </w:rPr>
              <w:t>,</w:t>
            </w:r>
            <w:r w:rsidRPr="0083231E">
              <w:t xml:space="preserve"> Toxisch</w:t>
            </w:r>
          </w:p>
        </w:tc>
      </w:tr>
      <w:tr w:rsidR="004D7895" w:rsidRPr="0083231E" w14:paraId="1EF05EE9" w14:textId="77777777" w:rsidTr="00B13CD3">
        <w:tc>
          <w:tcPr>
            <w:tcW w:w="1982" w:type="dxa"/>
          </w:tcPr>
          <w:p w14:paraId="2C309919" w14:textId="77777777" w:rsidR="004D7895" w:rsidRPr="0083231E" w:rsidRDefault="004D7895" w:rsidP="005F7840">
            <w:pPr>
              <w:pStyle w:val="KeinLeerraum"/>
              <w:rPr>
                <w:lang w:val="en-GB"/>
              </w:rPr>
            </w:pPr>
            <w:proofErr w:type="spellStart"/>
            <w:r w:rsidRPr="0083231E">
              <w:rPr>
                <w:lang w:val="en-GB"/>
              </w:rPr>
              <w:t>vPvB</w:t>
            </w:r>
            <w:proofErr w:type="spellEnd"/>
            <w:r w:rsidRPr="0083231E">
              <w:rPr>
                <w:lang w:val="en-GB"/>
              </w:rPr>
              <w:t>:</w:t>
            </w:r>
          </w:p>
        </w:tc>
        <w:tc>
          <w:tcPr>
            <w:tcW w:w="7036" w:type="dxa"/>
          </w:tcPr>
          <w:p w14:paraId="5F6E20E2" w14:textId="77777777" w:rsidR="004D7895" w:rsidRPr="0083231E" w:rsidRDefault="004D7895" w:rsidP="005F7840">
            <w:pPr>
              <w:pStyle w:val="KeinLeerraum"/>
              <w:rPr>
                <w:lang w:val="en-GB"/>
              </w:rPr>
            </w:pPr>
            <w:r w:rsidRPr="0083231E">
              <w:rPr>
                <w:lang w:val="en-GB"/>
              </w:rPr>
              <w:t xml:space="preserve">very Persistent, very </w:t>
            </w:r>
            <w:proofErr w:type="spellStart"/>
            <w:r w:rsidRPr="0083231E">
              <w:rPr>
                <w:lang w:val="en-GB"/>
              </w:rPr>
              <w:t>Bioa</w:t>
            </w:r>
            <w:r w:rsidR="003627B2" w:rsidRPr="0083231E">
              <w:rPr>
                <w:lang w:val="en-GB"/>
              </w:rPr>
              <w:t>cc</w:t>
            </w:r>
            <w:r w:rsidRPr="0083231E">
              <w:rPr>
                <w:lang w:val="en-GB"/>
              </w:rPr>
              <w:t>umulative</w:t>
            </w:r>
            <w:proofErr w:type="spellEnd"/>
          </w:p>
        </w:tc>
      </w:tr>
      <w:tr w:rsidR="00C92964" w:rsidRPr="0083231E" w14:paraId="2FEF5E2A" w14:textId="77777777" w:rsidTr="00B13CD3">
        <w:tc>
          <w:tcPr>
            <w:tcW w:w="1982" w:type="dxa"/>
          </w:tcPr>
          <w:p w14:paraId="0675DE33" w14:textId="77777777" w:rsidR="00C92964" w:rsidRPr="0083231E" w:rsidRDefault="00C92964" w:rsidP="005F7840">
            <w:pPr>
              <w:pStyle w:val="KeinLeerraum"/>
            </w:pPr>
            <w:r w:rsidRPr="0083231E">
              <w:rPr>
                <w:lang w:val="en-GB"/>
              </w:rPr>
              <w:t>GGVS</w:t>
            </w:r>
          </w:p>
        </w:tc>
        <w:tc>
          <w:tcPr>
            <w:tcW w:w="7036" w:type="dxa"/>
          </w:tcPr>
          <w:p w14:paraId="72D9FDED" w14:textId="77777777" w:rsidR="00C92964" w:rsidRPr="0083231E" w:rsidRDefault="00C92964" w:rsidP="005F7840">
            <w:pPr>
              <w:pStyle w:val="KeinLeerraum"/>
              <w:rPr>
                <w:lang w:val="en-GB"/>
              </w:rPr>
            </w:pPr>
            <w:r w:rsidRPr="0083231E">
              <w:t>Gefahrgutverordnung Straße</w:t>
            </w:r>
          </w:p>
        </w:tc>
      </w:tr>
      <w:tr w:rsidR="00C92964" w:rsidRPr="0083231E" w14:paraId="59C4A709" w14:textId="77777777" w:rsidTr="00B13CD3">
        <w:tc>
          <w:tcPr>
            <w:tcW w:w="1982" w:type="dxa"/>
          </w:tcPr>
          <w:p w14:paraId="0CFC4ED9" w14:textId="77777777" w:rsidR="00C92964" w:rsidRPr="0083231E" w:rsidRDefault="00C92964" w:rsidP="005F7840">
            <w:pPr>
              <w:pStyle w:val="KeinLeerraum"/>
            </w:pPr>
            <w:r w:rsidRPr="0083231E">
              <w:rPr>
                <w:lang w:val="en-GB"/>
              </w:rPr>
              <w:t>GGVE:</w:t>
            </w:r>
          </w:p>
        </w:tc>
        <w:tc>
          <w:tcPr>
            <w:tcW w:w="7036" w:type="dxa"/>
          </w:tcPr>
          <w:p w14:paraId="4669894A" w14:textId="77777777" w:rsidR="00C92964" w:rsidRPr="0083231E" w:rsidRDefault="00C92964" w:rsidP="005F7840">
            <w:pPr>
              <w:pStyle w:val="KeinLeerraum"/>
              <w:rPr>
                <w:lang w:val="en-GB"/>
              </w:rPr>
            </w:pPr>
            <w:r w:rsidRPr="0083231E">
              <w:t>Gefahrgutverordnung Eisenbahn</w:t>
            </w:r>
          </w:p>
        </w:tc>
      </w:tr>
      <w:tr w:rsidR="00C92964" w:rsidRPr="0083231E" w14:paraId="320AE879" w14:textId="77777777" w:rsidTr="00B13CD3">
        <w:tc>
          <w:tcPr>
            <w:tcW w:w="1982" w:type="dxa"/>
          </w:tcPr>
          <w:p w14:paraId="6848E539" w14:textId="77777777" w:rsidR="00C92964" w:rsidRPr="0083231E" w:rsidRDefault="00C92964" w:rsidP="005F7840">
            <w:pPr>
              <w:pStyle w:val="KeinLeerraum"/>
            </w:pPr>
            <w:proofErr w:type="spellStart"/>
            <w:r w:rsidRPr="0083231E">
              <w:rPr>
                <w:lang w:val="en-GB"/>
              </w:rPr>
              <w:t>GGVSee</w:t>
            </w:r>
            <w:proofErr w:type="spellEnd"/>
            <w:r w:rsidRPr="0083231E">
              <w:rPr>
                <w:lang w:val="en-GB"/>
              </w:rPr>
              <w:t>:</w:t>
            </w:r>
          </w:p>
        </w:tc>
        <w:tc>
          <w:tcPr>
            <w:tcW w:w="7036" w:type="dxa"/>
          </w:tcPr>
          <w:p w14:paraId="4F8EBD8F" w14:textId="77777777" w:rsidR="00C92964" w:rsidRPr="0083231E" w:rsidRDefault="00C92964" w:rsidP="005F7840">
            <w:pPr>
              <w:pStyle w:val="KeinLeerraum"/>
              <w:rPr>
                <w:lang w:val="en-GB"/>
              </w:rPr>
            </w:pPr>
            <w:r w:rsidRPr="0083231E">
              <w:t>Gefahrgutverordnung</w:t>
            </w:r>
            <w:r w:rsidRPr="0083231E">
              <w:rPr>
                <w:lang w:val="en-GB"/>
              </w:rPr>
              <w:t xml:space="preserve"> See</w:t>
            </w:r>
          </w:p>
        </w:tc>
      </w:tr>
      <w:tr w:rsidR="00C92964" w:rsidRPr="0083231E" w14:paraId="5CE8F909" w14:textId="77777777" w:rsidTr="00B13CD3">
        <w:tc>
          <w:tcPr>
            <w:tcW w:w="1982" w:type="dxa"/>
          </w:tcPr>
          <w:p w14:paraId="67853568" w14:textId="77777777" w:rsidR="00C92964" w:rsidRPr="0083231E" w:rsidRDefault="00C92964" w:rsidP="005F7840">
            <w:pPr>
              <w:pStyle w:val="KeinLeerraum"/>
              <w:rPr>
                <w:lang w:val="en-GB"/>
              </w:rPr>
            </w:pPr>
            <w:r w:rsidRPr="0083231E">
              <w:rPr>
                <w:lang w:val="en-GB"/>
              </w:rPr>
              <w:t>DGR:</w:t>
            </w:r>
          </w:p>
        </w:tc>
        <w:tc>
          <w:tcPr>
            <w:tcW w:w="7036" w:type="dxa"/>
          </w:tcPr>
          <w:p w14:paraId="7C5ED39C" w14:textId="77777777" w:rsidR="00C92964" w:rsidRPr="0083231E" w:rsidRDefault="00C92964" w:rsidP="005F7840">
            <w:pPr>
              <w:pStyle w:val="KeinLeerraum"/>
              <w:rPr>
                <w:lang w:val="en-GB"/>
              </w:rPr>
            </w:pPr>
            <w:r w:rsidRPr="0083231E">
              <w:rPr>
                <w:lang w:val="en-GB"/>
              </w:rPr>
              <w:t>Dangerous Goods Regulations</w:t>
            </w:r>
          </w:p>
        </w:tc>
      </w:tr>
      <w:tr w:rsidR="00C92964" w:rsidRPr="0083231E" w14:paraId="13C1C4B9" w14:textId="77777777" w:rsidTr="00B13CD3">
        <w:tc>
          <w:tcPr>
            <w:tcW w:w="1982" w:type="dxa"/>
          </w:tcPr>
          <w:p w14:paraId="70A6C7BA" w14:textId="77777777" w:rsidR="00C92964" w:rsidRPr="0083231E" w:rsidRDefault="00C92964" w:rsidP="005F7840">
            <w:pPr>
              <w:pStyle w:val="KeinLeerraum"/>
              <w:rPr>
                <w:lang w:val="en-GB"/>
              </w:rPr>
            </w:pPr>
            <w:r w:rsidRPr="0083231E">
              <w:rPr>
                <w:lang w:val="en-GB"/>
              </w:rPr>
              <w:t>TI:</w:t>
            </w:r>
          </w:p>
        </w:tc>
        <w:tc>
          <w:tcPr>
            <w:tcW w:w="7036" w:type="dxa"/>
          </w:tcPr>
          <w:p w14:paraId="49491545" w14:textId="77777777" w:rsidR="00C92964" w:rsidRPr="0083231E" w:rsidRDefault="00C92964" w:rsidP="005F7840">
            <w:pPr>
              <w:pStyle w:val="KeinLeerraum"/>
              <w:rPr>
                <w:lang w:val="en-GB"/>
              </w:rPr>
            </w:pPr>
            <w:r w:rsidRPr="0083231E">
              <w:rPr>
                <w:lang w:val="en-GB"/>
              </w:rPr>
              <w:t>Technical Instructions</w:t>
            </w:r>
          </w:p>
        </w:tc>
      </w:tr>
      <w:tr w:rsidR="00761720" w:rsidRPr="00C24929" w14:paraId="42B47172" w14:textId="77777777" w:rsidTr="00B13CD3">
        <w:tc>
          <w:tcPr>
            <w:tcW w:w="1982" w:type="dxa"/>
          </w:tcPr>
          <w:p w14:paraId="0BA499B8" w14:textId="77777777" w:rsidR="00761720" w:rsidRPr="0083231E" w:rsidRDefault="00761720" w:rsidP="005F7840">
            <w:pPr>
              <w:pStyle w:val="KeinLeerraum"/>
              <w:rPr>
                <w:lang w:val="en-GB"/>
              </w:rPr>
            </w:pPr>
            <w:r w:rsidRPr="0083231E">
              <w:rPr>
                <w:lang w:val="en-GB"/>
              </w:rPr>
              <w:t>CEN:</w:t>
            </w:r>
          </w:p>
        </w:tc>
        <w:tc>
          <w:tcPr>
            <w:tcW w:w="7036" w:type="dxa"/>
          </w:tcPr>
          <w:p w14:paraId="44A9D746" w14:textId="77777777" w:rsidR="00761720" w:rsidRPr="00C24929" w:rsidRDefault="00761720" w:rsidP="005F7840">
            <w:pPr>
              <w:pStyle w:val="KeinLeerraum"/>
              <w:rPr>
                <w:lang w:val="fr-FR"/>
              </w:rPr>
            </w:pPr>
            <w:r w:rsidRPr="00C24929">
              <w:rPr>
                <w:lang w:val="fr-FR"/>
              </w:rPr>
              <w:t>Comité Européen de Normalisation (</w:t>
            </w:r>
            <w:proofErr w:type="spellStart"/>
            <w:r w:rsidRPr="00C24929">
              <w:rPr>
                <w:lang w:val="fr-FR"/>
              </w:rPr>
              <w:t>European</w:t>
            </w:r>
            <w:proofErr w:type="spellEnd"/>
            <w:r w:rsidRPr="00C24929">
              <w:rPr>
                <w:lang w:val="fr-FR"/>
              </w:rPr>
              <w:t xml:space="preserve"> </w:t>
            </w:r>
            <w:proofErr w:type="spellStart"/>
            <w:r w:rsidRPr="00C24929">
              <w:rPr>
                <w:lang w:val="fr-FR"/>
              </w:rPr>
              <w:t>Committee</w:t>
            </w:r>
            <w:proofErr w:type="spellEnd"/>
            <w:r w:rsidRPr="00C24929">
              <w:rPr>
                <w:lang w:val="fr-FR"/>
              </w:rPr>
              <w:t xml:space="preserve"> for </w:t>
            </w:r>
            <w:proofErr w:type="spellStart"/>
            <w:r w:rsidRPr="00C24929">
              <w:rPr>
                <w:lang w:val="fr-FR"/>
              </w:rPr>
              <w:t>Standardization</w:t>
            </w:r>
            <w:proofErr w:type="spellEnd"/>
            <w:r w:rsidRPr="00C24929">
              <w:rPr>
                <w:lang w:val="fr-FR"/>
              </w:rPr>
              <w:t>)</w:t>
            </w:r>
          </w:p>
        </w:tc>
      </w:tr>
      <w:tr w:rsidR="00B405CB" w:rsidRPr="0083231E" w14:paraId="6390ECB7" w14:textId="77777777" w:rsidTr="00B13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Borders>
              <w:top w:val="nil"/>
              <w:left w:val="nil"/>
              <w:bottom w:val="nil"/>
              <w:right w:val="nil"/>
            </w:tcBorders>
          </w:tcPr>
          <w:p w14:paraId="1F70F42A" w14:textId="77777777" w:rsidR="00B405CB" w:rsidRPr="0083231E" w:rsidRDefault="00B405CB" w:rsidP="005F7840">
            <w:pPr>
              <w:pStyle w:val="KeinLeerraum"/>
              <w:rPr>
                <w:lang w:val="en-GB"/>
              </w:rPr>
            </w:pPr>
            <w:r w:rsidRPr="0083231E">
              <w:rPr>
                <w:lang w:val="en-GB"/>
              </w:rPr>
              <w:t>IBC:</w:t>
            </w:r>
          </w:p>
        </w:tc>
        <w:tc>
          <w:tcPr>
            <w:tcW w:w="7036" w:type="dxa"/>
            <w:tcBorders>
              <w:top w:val="nil"/>
              <w:left w:val="nil"/>
              <w:bottom w:val="nil"/>
              <w:right w:val="nil"/>
            </w:tcBorders>
          </w:tcPr>
          <w:p w14:paraId="4B53A940" w14:textId="77777777" w:rsidR="00B405CB" w:rsidRPr="0083231E" w:rsidRDefault="00B405CB" w:rsidP="005F7840">
            <w:pPr>
              <w:pStyle w:val="KeinLeerraum"/>
              <w:rPr>
                <w:lang w:val="en-GB"/>
              </w:rPr>
            </w:pPr>
            <w:r w:rsidRPr="0083231E">
              <w:rPr>
                <w:lang w:val="en-GB"/>
              </w:rPr>
              <w:t>International Bulk Chemicals</w:t>
            </w:r>
          </w:p>
        </w:tc>
      </w:tr>
      <w:tr w:rsidR="00B405CB" w:rsidRPr="0083231E" w14:paraId="5C3EFF49" w14:textId="77777777" w:rsidTr="00B13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Borders>
              <w:top w:val="nil"/>
              <w:left w:val="nil"/>
              <w:bottom w:val="nil"/>
              <w:right w:val="nil"/>
            </w:tcBorders>
          </w:tcPr>
          <w:p w14:paraId="49D61AF8" w14:textId="77777777" w:rsidR="00B405CB" w:rsidRPr="0083231E" w:rsidRDefault="00B405CB" w:rsidP="005F7840">
            <w:pPr>
              <w:pStyle w:val="KeinLeerraum"/>
              <w:rPr>
                <w:lang w:val="en-GB"/>
              </w:rPr>
            </w:pPr>
            <w:r w:rsidRPr="0083231E">
              <w:rPr>
                <w:lang w:val="en-GB"/>
              </w:rPr>
              <w:t>MARPOL:</w:t>
            </w:r>
          </w:p>
        </w:tc>
        <w:tc>
          <w:tcPr>
            <w:tcW w:w="7036" w:type="dxa"/>
            <w:tcBorders>
              <w:top w:val="nil"/>
              <w:left w:val="nil"/>
              <w:bottom w:val="nil"/>
              <w:right w:val="nil"/>
            </w:tcBorders>
          </w:tcPr>
          <w:p w14:paraId="35D58AEA" w14:textId="77777777" w:rsidR="00B405CB" w:rsidRPr="0083231E" w:rsidRDefault="00B405CB" w:rsidP="005F7840">
            <w:pPr>
              <w:pStyle w:val="KeinLeerraum"/>
              <w:rPr>
                <w:lang w:val="en-GB"/>
              </w:rPr>
            </w:pPr>
            <w:r w:rsidRPr="0083231E">
              <w:rPr>
                <w:lang w:val="en-GB"/>
              </w:rPr>
              <w:t>Marine Pollution</w:t>
            </w:r>
          </w:p>
        </w:tc>
      </w:tr>
      <w:tr w:rsidR="00B13CD3" w:rsidRPr="0083231E" w14:paraId="53584F23" w14:textId="77777777" w:rsidTr="00B13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Borders>
              <w:top w:val="nil"/>
              <w:left w:val="nil"/>
              <w:bottom w:val="nil"/>
              <w:right w:val="nil"/>
            </w:tcBorders>
          </w:tcPr>
          <w:p w14:paraId="77D469E9" w14:textId="77777777" w:rsidR="00B13CD3" w:rsidRPr="0083231E" w:rsidRDefault="000440F6" w:rsidP="005F7840">
            <w:pPr>
              <w:pStyle w:val="KeinLeerraum"/>
              <w:rPr>
                <w:lang w:val="de-DE"/>
              </w:rPr>
            </w:pPr>
            <w:r w:rsidRPr="0083231E">
              <w:rPr>
                <w:lang w:val="en-GB"/>
              </w:rPr>
              <w:t>E</w:t>
            </w:r>
            <w:r w:rsidR="00B13CD3" w:rsidRPr="0083231E">
              <w:rPr>
                <w:lang w:val="en-GB"/>
              </w:rPr>
              <w:t>C</w:t>
            </w:r>
            <w:r w:rsidR="00B13CD3" w:rsidRPr="0083231E">
              <w:rPr>
                <w:vertAlign w:val="subscript"/>
                <w:lang w:val="en-GB"/>
              </w:rPr>
              <w:t>50</w:t>
            </w:r>
            <w:r w:rsidR="00B13CD3" w:rsidRPr="0083231E">
              <w:rPr>
                <w:lang w:val="en-GB"/>
              </w:rPr>
              <w:t>:</w:t>
            </w:r>
          </w:p>
        </w:tc>
        <w:tc>
          <w:tcPr>
            <w:tcW w:w="7036" w:type="dxa"/>
            <w:tcBorders>
              <w:top w:val="nil"/>
              <w:left w:val="nil"/>
              <w:bottom w:val="nil"/>
              <w:right w:val="nil"/>
            </w:tcBorders>
          </w:tcPr>
          <w:p w14:paraId="2AEFFA0B" w14:textId="77777777" w:rsidR="00B13CD3" w:rsidRPr="0083231E" w:rsidRDefault="00B13CD3" w:rsidP="005F7840">
            <w:pPr>
              <w:pStyle w:val="KeinLeerraum"/>
              <w:rPr>
                <w:lang w:val="en-GB"/>
              </w:rPr>
            </w:pPr>
            <w:r w:rsidRPr="0083231E">
              <w:rPr>
                <w:lang w:val="de-DE"/>
              </w:rPr>
              <w:t>Mittlere</w:t>
            </w:r>
            <w:r w:rsidRPr="0083231E">
              <w:rPr>
                <w:lang w:val="en-GB"/>
              </w:rPr>
              <w:t xml:space="preserve"> effective</w:t>
            </w:r>
            <w:r w:rsidRPr="0083231E">
              <w:rPr>
                <w:lang w:val="de-DE"/>
              </w:rPr>
              <w:t xml:space="preserve"> Konzentration</w:t>
            </w:r>
            <w:r w:rsidRPr="0083231E">
              <w:rPr>
                <w:lang w:val="en-GB"/>
              </w:rPr>
              <w:t>.</w:t>
            </w:r>
          </w:p>
        </w:tc>
      </w:tr>
      <w:tr w:rsidR="00AD7512" w:rsidRPr="00C24929" w14:paraId="7B7CBD8D" w14:textId="77777777" w:rsidTr="00B13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Borders>
              <w:top w:val="nil"/>
              <w:left w:val="nil"/>
              <w:bottom w:val="nil"/>
              <w:right w:val="nil"/>
            </w:tcBorders>
          </w:tcPr>
          <w:p w14:paraId="7DE0D511" w14:textId="77777777" w:rsidR="00AD7512" w:rsidRPr="0083231E" w:rsidRDefault="00AD7512" w:rsidP="005F7840">
            <w:pPr>
              <w:pStyle w:val="KeinLeerraum"/>
              <w:rPr>
                <w:lang w:val="en-GB"/>
              </w:rPr>
            </w:pPr>
            <w:r w:rsidRPr="0083231E">
              <w:rPr>
                <w:lang w:val="en-GB"/>
              </w:rPr>
              <w:t>NOAEL:</w:t>
            </w:r>
          </w:p>
        </w:tc>
        <w:tc>
          <w:tcPr>
            <w:tcW w:w="7036" w:type="dxa"/>
            <w:tcBorders>
              <w:top w:val="nil"/>
              <w:left w:val="nil"/>
              <w:bottom w:val="nil"/>
              <w:right w:val="nil"/>
            </w:tcBorders>
          </w:tcPr>
          <w:p w14:paraId="355AE7D6" w14:textId="77777777" w:rsidR="00AD7512" w:rsidRPr="0083231E" w:rsidRDefault="00AD7512" w:rsidP="005F7840">
            <w:pPr>
              <w:pStyle w:val="KeinLeerraum"/>
              <w:rPr>
                <w:lang w:val="en-GB"/>
              </w:rPr>
            </w:pPr>
            <w:r w:rsidRPr="0083231E">
              <w:rPr>
                <w:lang w:val="en-GB"/>
              </w:rPr>
              <w:t>No Observed Adverse Effect Level</w:t>
            </w:r>
          </w:p>
        </w:tc>
      </w:tr>
      <w:tr w:rsidR="000440F6" w:rsidRPr="0083231E" w14:paraId="528030DC" w14:textId="77777777" w:rsidTr="00B13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Borders>
              <w:top w:val="nil"/>
              <w:left w:val="nil"/>
              <w:bottom w:val="nil"/>
              <w:right w:val="nil"/>
            </w:tcBorders>
          </w:tcPr>
          <w:p w14:paraId="7B80CEFE" w14:textId="77777777" w:rsidR="000440F6" w:rsidRPr="0083231E" w:rsidRDefault="000440F6" w:rsidP="005F7840">
            <w:pPr>
              <w:pStyle w:val="KeinLeerraum"/>
              <w:rPr>
                <w:lang w:val="en-GB"/>
              </w:rPr>
            </w:pPr>
            <w:r w:rsidRPr="0083231E">
              <w:rPr>
                <w:lang w:val="en-GB"/>
              </w:rPr>
              <w:t>DNEL:</w:t>
            </w:r>
          </w:p>
        </w:tc>
        <w:tc>
          <w:tcPr>
            <w:tcW w:w="7036" w:type="dxa"/>
            <w:tcBorders>
              <w:top w:val="nil"/>
              <w:left w:val="nil"/>
              <w:bottom w:val="nil"/>
              <w:right w:val="nil"/>
            </w:tcBorders>
          </w:tcPr>
          <w:p w14:paraId="1791E162" w14:textId="77777777" w:rsidR="000440F6" w:rsidRPr="0083231E" w:rsidRDefault="000440F6" w:rsidP="005F7840">
            <w:pPr>
              <w:pStyle w:val="KeinLeerraum"/>
              <w:rPr>
                <w:lang w:val="en-GB"/>
              </w:rPr>
            </w:pPr>
            <w:r w:rsidRPr="0083231E">
              <w:rPr>
                <w:lang w:val="en-GB"/>
              </w:rPr>
              <w:t>Derived No-Effect Level</w:t>
            </w:r>
          </w:p>
        </w:tc>
      </w:tr>
      <w:tr w:rsidR="000440F6" w:rsidRPr="0083231E" w14:paraId="4EFFA969" w14:textId="77777777" w:rsidTr="00B13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Borders>
              <w:top w:val="nil"/>
              <w:left w:val="nil"/>
              <w:bottom w:val="nil"/>
              <w:right w:val="nil"/>
            </w:tcBorders>
          </w:tcPr>
          <w:p w14:paraId="1ADF53F9" w14:textId="77777777" w:rsidR="000440F6" w:rsidRPr="0083231E" w:rsidRDefault="000440F6" w:rsidP="005F7840">
            <w:pPr>
              <w:pStyle w:val="KeinLeerraum"/>
              <w:rPr>
                <w:lang w:val="en-GB"/>
              </w:rPr>
            </w:pPr>
            <w:r w:rsidRPr="0083231E">
              <w:rPr>
                <w:lang w:val="en-GB"/>
              </w:rPr>
              <w:t>DMEL:</w:t>
            </w:r>
          </w:p>
        </w:tc>
        <w:tc>
          <w:tcPr>
            <w:tcW w:w="7036" w:type="dxa"/>
            <w:tcBorders>
              <w:top w:val="nil"/>
              <w:left w:val="nil"/>
              <w:bottom w:val="nil"/>
              <w:right w:val="nil"/>
            </w:tcBorders>
          </w:tcPr>
          <w:p w14:paraId="04A52817" w14:textId="77777777" w:rsidR="000440F6" w:rsidRPr="0083231E" w:rsidRDefault="000440F6" w:rsidP="005F7840">
            <w:pPr>
              <w:pStyle w:val="KeinLeerraum"/>
              <w:rPr>
                <w:lang w:val="en-GB"/>
              </w:rPr>
            </w:pPr>
            <w:r w:rsidRPr="0083231E">
              <w:rPr>
                <w:lang w:val="en-GB"/>
              </w:rPr>
              <w:t>Derived Minimal Effect level</w:t>
            </w:r>
          </w:p>
        </w:tc>
      </w:tr>
      <w:tr w:rsidR="000440F6" w:rsidRPr="002401FB" w14:paraId="20F28CCD" w14:textId="77777777" w:rsidTr="00B13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Borders>
              <w:top w:val="nil"/>
              <w:left w:val="nil"/>
              <w:bottom w:val="nil"/>
              <w:right w:val="nil"/>
            </w:tcBorders>
          </w:tcPr>
          <w:p w14:paraId="4112FDAE" w14:textId="77777777" w:rsidR="000440F6" w:rsidRPr="0083231E" w:rsidRDefault="000440F6" w:rsidP="005F7840">
            <w:pPr>
              <w:pStyle w:val="KeinLeerraum"/>
              <w:rPr>
                <w:lang w:val="en-GB"/>
              </w:rPr>
            </w:pPr>
            <w:r w:rsidRPr="0083231E">
              <w:rPr>
                <w:lang w:val="en-GB"/>
              </w:rPr>
              <w:t>PNEC:</w:t>
            </w:r>
          </w:p>
        </w:tc>
        <w:tc>
          <w:tcPr>
            <w:tcW w:w="7036" w:type="dxa"/>
            <w:tcBorders>
              <w:top w:val="nil"/>
              <w:left w:val="nil"/>
              <w:bottom w:val="nil"/>
              <w:right w:val="nil"/>
            </w:tcBorders>
          </w:tcPr>
          <w:p w14:paraId="109AE291" w14:textId="77777777" w:rsidR="000440F6" w:rsidRPr="00B946B1" w:rsidRDefault="000440F6" w:rsidP="005F7840">
            <w:pPr>
              <w:pStyle w:val="KeinLeerraum"/>
              <w:rPr>
                <w:lang w:val="en-GB"/>
              </w:rPr>
            </w:pPr>
            <w:r w:rsidRPr="0083231E">
              <w:rPr>
                <w:lang w:val="en-GB"/>
              </w:rPr>
              <w:t>Predicted No-Effect Concentration</w:t>
            </w:r>
          </w:p>
        </w:tc>
      </w:tr>
    </w:tbl>
    <w:p w14:paraId="141049D3" w14:textId="77777777" w:rsidR="002A1652" w:rsidRPr="002A1652" w:rsidRDefault="002A1652" w:rsidP="005F7840">
      <w:pPr>
        <w:rPr>
          <w:lang w:val="en-GB"/>
        </w:rPr>
      </w:pPr>
    </w:p>
    <w:sectPr w:rsidR="002A1652" w:rsidRPr="002A1652" w:rsidSect="005C3BBD">
      <w:headerReference w:type="default" r:id="rId10"/>
      <w:footerReference w:type="default" r:id="rId11"/>
      <w:pgSz w:w="11906" w:h="16838"/>
      <w:pgMar w:top="1440" w:right="1133"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206F" w14:textId="77777777" w:rsidR="005C3BBD" w:rsidRDefault="005C3BBD" w:rsidP="005F7840">
      <w:r>
        <w:separator/>
      </w:r>
    </w:p>
    <w:p w14:paraId="72B8320A" w14:textId="77777777" w:rsidR="005C3BBD" w:rsidRDefault="005C3BBD" w:rsidP="005F7840"/>
    <w:p w14:paraId="1F64AEC8" w14:textId="77777777" w:rsidR="005C3BBD" w:rsidRDefault="005C3BBD" w:rsidP="005F7840"/>
    <w:p w14:paraId="7491FFF3" w14:textId="77777777" w:rsidR="005C3BBD" w:rsidRDefault="005C3BBD" w:rsidP="005F7840"/>
  </w:endnote>
  <w:endnote w:type="continuationSeparator" w:id="0">
    <w:p w14:paraId="6328D40D" w14:textId="77777777" w:rsidR="005C3BBD" w:rsidRDefault="005C3BBD" w:rsidP="005F7840">
      <w:r>
        <w:continuationSeparator/>
      </w:r>
    </w:p>
    <w:p w14:paraId="305BE6F7" w14:textId="77777777" w:rsidR="005C3BBD" w:rsidRDefault="005C3BBD" w:rsidP="005F7840"/>
    <w:p w14:paraId="50B86F51" w14:textId="77777777" w:rsidR="005C3BBD" w:rsidRDefault="005C3BBD" w:rsidP="005F7840"/>
    <w:p w14:paraId="4E934B3E" w14:textId="77777777" w:rsidR="005C3BBD" w:rsidRDefault="005C3BBD" w:rsidP="005F7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1FE5" w14:textId="77777777" w:rsidR="006244AC" w:rsidRPr="008310C3" w:rsidRDefault="006244AC" w:rsidP="008310C3">
    <w:pPr>
      <w:pStyle w:val="Fuzeile"/>
      <w:spacing w:after="0"/>
      <w:jc w:val="right"/>
      <w:rPr>
        <w:sz w:val="16"/>
        <w:szCs w:val="16"/>
      </w:rPr>
    </w:pPr>
    <w:r w:rsidRPr="008310C3">
      <w:rPr>
        <w:sz w:val="16"/>
        <w:szCs w:val="16"/>
      </w:rPr>
      <w:t xml:space="preserve">Seite </w:t>
    </w:r>
    <w:r w:rsidRPr="008310C3">
      <w:rPr>
        <w:sz w:val="16"/>
        <w:szCs w:val="16"/>
      </w:rPr>
      <w:fldChar w:fldCharType="begin"/>
    </w:r>
    <w:r w:rsidRPr="008310C3">
      <w:rPr>
        <w:sz w:val="16"/>
        <w:szCs w:val="16"/>
      </w:rPr>
      <w:instrText xml:space="preserve"> PAGE </w:instrText>
    </w:r>
    <w:r w:rsidRPr="008310C3">
      <w:rPr>
        <w:sz w:val="16"/>
        <w:szCs w:val="16"/>
      </w:rPr>
      <w:fldChar w:fldCharType="separate"/>
    </w:r>
    <w:r w:rsidR="00C24929">
      <w:rPr>
        <w:noProof/>
        <w:sz w:val="16"/>
        <w:szCs w:val="16"/>
      </w:rPr>
      <w:t>1</w:t>
    </w:r>
    <w:r w:rsidRPr="008310C3">
      <w:rPr>
        <w:sz w:val="16"/>
        <w:szCs w:val="16"/>
      </w:rPr>
      <w:fldChar w:fldCharType="end"/>
    </w:r>
    <w:r w:rsidRPr="008310C3">
      <w:rPr>
        <w:sz w:val="16"/>
        <w:szCs w:val="16"/>
      </w:rPr>
      <w:t xml:space="preserve"> von </w:t>
    </w:r>
    <w:r w:rsidRPr="008310C3">
      <w:rPr>
        <w:sz w:val="16"/>
        <w:szCs w:val="16"/>
      </w:rPr>
      <w:fldChar w:fldCharType="begin"/>
    </w:r>
    <w:r w:rsidRPr="008310C3">
      <w:rPr>
        <w:sz w:val="16"/>
        <w:szCs w:val="16"/>
      </w:rPr>
      <w:instrText xml:space="preserve"> NUMPAGES </w:instrText>
    </w:r>
    <w:r w:rsidRPr="008310C3">
      <w:rPr>
        <w:sz w:val="16"/>
        <w:szCs w:val="16"/>
      </w:rPr>
      <w:fldChar w:fldCharType="separate"/>
    </w:r>
    <w:r w:rsidR="00C24929">
      <w:rPr>
        <w:noProof/>
        <w:sz w:val="16"/>
        <w:szCs w:val="16"/>
      </w:rPr>
      <w:t>14</w:t>
    </w:r>
    <w:r w:rsidRPr="008310C3">
      <w:rPr>
        <w:sz w:val="16"/>
        <w:szCs w:val="16"/>
      </w:rPr>
      <w:fldChar w:fldCharType="end"/>
    </w:r>
  </w:p>
  <w:p w14:paraId="62258ABA" w14:textId="77777777" w:rsidR="006244AC" w:rsidRDefault="006244AC" w:rsidP="005F78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6D1E" w14:textId="77777777" w:rsidR="005C3BBD" w:rsidRDefault="005C3BBD" w:rsidP="005F7840">
      <w:r>
        <w:separator/>
      </w:r>
    </w:p>
    <w:p w14:paraId="1F9BFEA1" w14:textId="77777777" w:rsidR="005C3BBD" w:rsidRDefault="005C3BBD" w:rsidP="005F7840"/>
    <w:p w14:paraId="3E841B2A" w14:textId="77777777" w:rsidR="005C3BBD" w:rsidRDefault="005C3BBD" w:rsidP="005F7840"/>
    <w:p w14:paraId="6D12E855" w14:textId="77777777" w:rsidR="005C3BBD" w:rsidRDefault="005C3BBD" w:rsidP="005F7840"/>
  </w:footnote>
  <w:footnote w:type="continuationSeparator" w:id="0">
    <w:p w14:paraId="7264B8BE" w14:textId="77777777" w:rsidR="005C3BBD" w:rsidRDefault="005C3BBD" w:rsidP="005F7840">
      <w:r>
        <w:continuationSeparator/>
      </w:r>
    </w:p>
    <w:p w14:paraId="1D103821" w14:textId="77777777" w:rsidR="005C3BBD" w:rsidRDefault="005C3BBD" w:rsidP="005F7840"/>
    <w:p w14:paraId="1245FB12" w14:textId="77777777" w:rsidR="005C3BBD" w:rsidRDefault="005C3BBD" w:rsidP="005F7840"/>
    <w:p w14:paraId="21BD940B" w14:textId="77777777" w:rsidR="005C3BBD" w:rsidRDefault="005C3BBD" w:rsidP="005F7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D789" w14:textId="77777777" w:rsidR="006244AC" w:rsidRDefault="006244AC" w:rsidP="005F7840">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4220"/>
    </w:tblGrid>
    <w:tr w:rsidR="006244AC" w:rsidRPr="00435AF5" w14:paraId="0F249FA5" w14:textId="77777777" w:rsidTr="00406AA5">
      <w:trPr>
        <w:trHeight w:val="702"/>
      </w:trPr>
      <w:tc>
        <w:tcPr>
          <w:tcW w:w="5463" w:type="dxa"/>
          <w:tcBorders>
            <w:bottom w:val="single" w:sz="4" w:space="0" w:color="auto"/>
          </w:tcBorders>
          <w:vAlign w:val="bottom"/>
        </w:tcPr>
        <w:p w14:paraId="5E297F28" w14:textId="77777777" w:rsidR="006244AC" w:rsidRPr="00634242" w:rsidRDefault="006244AC" w:rsidP="00406AA5">
          <w:pPr>
            <w:spacing w:after="0"/>
          </w:pPr>
          <w:r>
            <w:rPr>
              <w:noProof/>
              <w:lang w:val="de-DE"/>
            </w:rPr>
            <w:drawing>
              <wp:inline distT="0" distB="0" distL="0" distR="0" wp14:anchorId="7EA29F6A" wp14:editId="3FCA918E">
                <wp:extent cx="861593" cy="4445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167" cy="446860"/>
                        </a:xfrm>
                        <a:prstGeom prst="rect">
                          <a:avLst/>
                        </a:prstGeom>
                      </pic:spPr>
                    </pic:pic>
                  </a:graphicData>
                </a:graphic>
              </wp:inline>
            </w:drawing>
          </w:r>
        </w:p>
      </w:tc>
      <w:tc>
        <w:tcPr>
          <w:tcW w:w="4220" w:type="dxa"/>
          <w:tcBorders>
            <w:bottom w:val="single" w:sz="4" w:space="0" w:color="auto"/>
          </w:tcBorders>
          <w:vAlign w:val="bottom"/>
        </w:tcPr>
        <w:p w14:paraId="78FFF9F2" w14:textId="77777777" w:rsidR="006244AC" w:rsidRPr="00435AF5" w:rsidRDefault="006244AC" w:rsidP="00406AA5">
          <w:pPr>
            <w:spacing w:after="0"/>
          </w:pPr>
          <w:r w:rsidRPr="00406AA5">
            <w:rPr>
              <w:color w:val="C00000"/>
            </w:rPr>
            <w:t xml:space="preserve">                                     www.hwk-skiwax.com</w:t>
          </w:r>
        </w:p>
      </w:tc>
    </w:tr>
    <w:tr w:rsidR="006244AC" w:rsidRPr="008266FB" w14:paraId="7C38C8EE" w14:textId="77777777" w:rsidTr="00406AA5">
      <w:trPr>
        <w:trHeight w:val="1114"/>
      </w:trPr>
      <w:tc>
        <w:tcPr>
          <w:tcW w:w="5463" w:type="dxa"/>
          <w:tcBorders>
            <w:top w:val="single" w:sz="4" w:space="0" w:color="auto"/>
          </w:tcBorders>
        </w:tcPr>
        <w:p w14:paraId="0B0D319F" w14:textId="77777777" w:rsidR="006244AC" w:rsidRPr="008310C3" w:rsidRDefault="006244AC" w:rsidP="008310C3">
          <w:pPr>
            <w:pStyle w:val="berschrift2"/>
            <w:spacing w:before="120" w:after="0"/>
            <w:ind w:right="-159"/>
            <w:rPr>
              <w:sz w:val="32"/>
              <w:szCs w:val="32"/>
            </w:rPr>
          </w:pPr>
          <w:r w:rsidRPr="008310C3">
            <w:rPr>
              <w:sz w:val="32"/>
              <w:szCs w:val="32"/>
            </w:rPr>
            <w:t>Sicherheitsdatenblatt</w:t>
          </w:r>
        </w:p>
        <w:p w14:paraId="1435487A" w14:textId="77777777" w:rsidR="006244AC" w:rsidRPr="008310C3" w:rsidRDefault="006244AC" w:rsidP="00406AA5">
          <w:pPr>
            <w:pStyle w:val="berschrift3"/>
            <w:numPr>
              <w:ilvl w:val="0"/>
              <w:numId w:val="0"/>
            </w:numPr>
            <w:spacing w:after="0"/>
            <w:ind w:left="227" w:hanging="227"/>
            <w:rPr>
              <w:sz w:val="20"/>
              <w:szCs w:val="20"/>
            </w:rPr>
          </w:pPr>
          <w:r w:rsidRPr="008310C3">
            <w:rPr>
              <w:sz w:val="20"/>
              <w:szCs w:val="20"/>
            </w:rPr>
            <w:t>gemäß Verordnung (EG) Nr. 1907/2006 (REACH)</w:t>
          </w:r>
        </w:p>
      </w:tc>
      <w:tc>
        <w:tcPr>
          <w:tcW w:w="4220" w:type="dxa"/>
          <w:tcBorders>
            <w:top w:val="single" w:sz="4" w:space="0" w:color="auto"/>
          </w:tcBorders>
        </w:tcPr>
        <w:p w14:paraId="5B2A2E23" w14:textId="77777777" w:rsidR="006244AC" w:rsidRPr="008266FB" w:rsidRDefault="006244AC" w:rsidP="00406AA5">
          <w:pPr>
            <w:spacing w:after="0"/>
          </w:pPr>
        </w:p>
      </w:tc>
    </w:tr>
    <w:tr w:rsidR="006244AC" w:rsidRPr="008266FB" w14:paraId="1459950A" w14:textId="77777777" w:rsidTr="00406AA5">
      <w:trPr>
        <w:trHeight w:val="318"/>
      </w:trPr>
      <w:tc>
        <w:tcPr>
          <w:tcW w:w="5463" w:type="dxa"/>
          <w:tcBorders>
            <w:bottom w:val="single" w:sz="4" w:space="0" w:color="auto"/>
          </w:tcBorders>
        </w:tcPr>
        <w:p w14:paraId="298158F5" w14:textId="77777777" w:rsidR="006244AC" w:rsidRPr="008310C3" w:rsidRDefault="0083231E" w:rsidP="00406AA5">
          <w:pPr>
            <w:pStyle w:val="KeinLeerraum"/>
            <w:spacing w:after="0"/>
            <w:rPr>
              <w:sz w:val="16"/>
              <w:szCs w:val="16"/>
            </w:rPr>
          </w:pPr>
          <w:r>
            <w:rPr>
              <w:sz w:val="16"/>
              <w:szCs w:val="16"/>
            </w:rPr>
            <w:t xml:space="preserve">Handelsname: </w:t>
          </w:r>
          <w:proofErr w:type="spellStart"/>
          <w:r>
            <w:rPr>
              <w:sz w:val="16"/>
              <w:szCs w:val="16"/>
            </w:rPr>
            <w:t>Liquo</w:t>
          </w:r>
          <w:proofErr w:type="spellEnd"/>
          <w:r>
            <w:rPr>
              <w:sz w:val="16"/>
              <w:szCs w:val="16"/>
            </w:rPr>
            <w:t xml:space="preserve"> Warm</w:t>
          </w:r>
          <w:r>
            <w:rPr>
              <w:sz w:val="16"/>
              <w:szCs w:val="16"/>
            </w:rPr>
            <w:br/>
          </w:r>
          <w:proofErr w:type="spellStart"/>
          <w:r>
            <w:rPr>
              <w:sz w:val="16"/>
              <w:szCs w:val="16"/>
            </w:rPr>
            <w:t>Produktnr</w:t>
          </w:r>
          <w:proofErr w:type="spellEnd"/>
          <w:r>
            <w:rPr>
              <w:sz w:val="16"/>
              <w:szCs w:val="16"/>
            </w:rPr>
            <w:t>.: 8800</w:t>
          </w:r>
        </w:p>
      </w:tc>
      <w:tc>
        <w:tcPr>
          <w:tcW w:w="4220" w:type="dxa"/>
          <w:tcBorders>
            <w:bottom w:val="single" w:sz="4" w:space="0" w:color="auto"/>
          </w:tcBorders>
        </w:tcPr>
        <w:p w14:paraId="623E8AA4" w14:textId="77777777" w:rsidR="006244AC" w:rsidRPr="008310C3" w:rsidRDefault="006244AC" w:rsidP="008310C3">
          <w:pPr>
            <w:spacing w:after="0"/>
            <w:jc w:val="right"/>
            <w:rPr>
              <w:sz w:val="16"/>
              <w:szCs w:val="16"/>
            </w:rPr>
          </w:pPr>
          <w:r w:rsidRPr="008310C3">
            <w:rPr>
              <w:sz w:val="16"/>
              <w:szCs w:val="16"/>
            </w:rPr>
            <w:t>Version: 1.1</w:t>
          </w:r>
          <w:r w:rsidRPr="008310C3">
            <w:rPr>
              <w:sz w:val="16"/>
              <w:szCs w:val="16"/>
            </w:rPr>
            <w:br/>
          </w:r>
          <w:r>
            <w:rPr>
              <w:sz w:val="16"/>
              <w:szCs w:val="16"/>
            </w:rPr>
            <w:t>Druckdatum: 20</w:t>
          </w:r>
          <w:r w:rsidRPr="008310C3">
            <w:rPr>
              <w:sz w:val="16"/>
              <w:szCs w:val="16"/>
            </w:rPr>
            <w:t>.10.2016</w:t>
          </w:r>
        </w:p>
      </w:tc>
    </w:tr>
  </w:tbl>
  <w:p w14:paraId="4BB763D8" w14:textId="77777777" w:rsidR="006244AC" w:rsidRDefault="006244AC" w:rsidP="005F78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C92"/>
    <w:multiLevelType w:val="multilevel"/>
    <w:tmpl w:val="5AE0CE8C"/>
    <w:lvl w:ilvl="0">
      <w:start w:val="1"/>
      <w:numFmt w:val="decimal"/>
      <w:lvlText w:val="%1"/>
      <w:lvlJc w:val="left"/>
      <w:pPr>
        <w:tabs>
          <w:tab w:val="num" w:pos="705"/>
        </w:tabs>
        <w:ind w:left="705" w:hanging="705"/>
      </w:pPr>
      <w:rPr>
        <w:rFonts w:hint="default"/>
        <w:color w:val="auto"/>
      </w:rPr>
    </w:lvl>
    <w:lvl w:ilvl="1">
      <w:start w:val="1"/>
      <w:numFmt w:val="decimal"/>
      <w:pStyle w:val="berschrift4"/>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990099"/>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 w15:restartNumberingAfterBreak="0">
    <w:nsid w:val="3C583DE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B1220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91884"/>
    <w:multiLevelType w:val="singleLevel"/>
    <w:tmpl w:val="3020C764"/>
    <w:lvl w:ilvl="0">
      <w:start w:val="1"/>
      <w:numFmt w:val="bullet"/>
      <w:lvlRestart w:val="0"/>
      <w:pStyle w:val="Aufzhlungszeichen3"/>
      <w:lvlText w:val=""/>
      <w:lvlJc w:val="left"/>
      <w:pPr>
        <w:tabs>
          <w:tab w:val="num" w:pos="1134"/>
        </w:tabs>
        <w:ind w:left="1134" w:hanging="283"/>
      </w:pPr>
      <w:rPr>
        <w:rFonts w:ascii="Symbol" w:hAnsi="Symbol" w:hint="default"/>
      </w:rPr>
    </w:lvl>
  </w:abstractNum>
  <w:abstractNum w:abstractNumId="4" w15:restartNumberingAfterBreak="0">
    <w:nsid w:val="425D3A07"/>
    <w:multiLevelType w:val="multilevel"/>
    <w:tmpl w:val="0C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3E256B"/>
    <w:multiLevelType w:val="multilevel"/>
    <w:tmpl w:val="48622E3A"/>
    <w:lvl w:ilvl="0">
      <w:start w:val="1"/>
      <w:numFmt w:val="decimal"/>
      <w:pStyle w:val="berschrift3"/>
      <w:lvlText w:val="%1."/>
      <w:lvlJc w:val="left"/>
      <w:pPr>
        <w:tabs>
          <w:tab w:val="num" w:pos="357"/>
        </w:tabs>
        <w:ind w:left="227" w:hanging="227"/>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7" w15:restartNumberingAfterBreak="0">
    <w:nsid w:val="5515438E"/>
    <w:multiLevelType w:val="singleLevel"/>
    <w:tmpl w:val="109A336A"/>
    <w:lvl w:ilvl="0">
      <w:start w:val="1"/>
      <w:numFmt w:val="bullet"/>
      <w:lvlRestart w:val="0"/>
      <w:pStyle w:val="Tiret1"/>
      <w:lvlText w:val="–"/>
      <w:lvlJc w:val="left"/>
      <w:pPr>
        <w:tabs>
          <w:tab w:val="num" w:pos="1417"/>
        </w:tabs>
        <w:ind w:left="1417" w:hanging="567"/>
      </w:pPr>
    </w:lvl>
  </w:abstractNum>
  <w:abstractNum w:abstractNumId="8" w15:restartNumberingAfterBreak="0">
    <w:nsid w:val="574B1B2F"/>
    <w:multiLevelType w:val="hybridMultilevel"/>
    <w:tmpl w:val="83D4BF6E"/>
    <w:lvl w:ilvl="0" w:tplc="9A30967C">
      <w:start w:val="1"/>
      <w:numFmt w:val="decimal"/>
      <w:pStyle w:val="Standard9pt"/>
      <w:lvlText w:val="%1."/>
      <w:lvlJc w:val="left"/>
      <w:pPr>
        <w:tabs>
          <w:tab w:val="num" w:pos="720"/>
        </w:tabs>
        <w:ind w:left="720" w:hanging="360"/>
      </w:pPr>
      <w:rPr>
        <w:rFonts w:hint="default"/>
        <w:b w:val="0"/>
        <w:i/>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36356523">
    <w:abstractNumId w:val="8"/>
  </w:num>
  <w:num w:numId="2" w16cid:durableId="687609800">
    <w:abstractNumId w:val="0"/>
  </w:num>
  <w:num w:numId="3" w16cid:durableId="23672358">
    <w:abstractNumId w:val="3"/>
  </w:num>
  <w:num w:numId="4" w16cid:durableId="130178182">
    <w:abstractNumId w:val="7"/>
  </w:num>
  <w:num w:numId="5" w16cid:durableId="1328746808">
    <w:abstractNumId w:val="6"/>
  </w:num>
  <w:num w:numId="6" w16cid:durableId="278901">
    <w:abstractNumId w:val="0"/>
  </w:num>
  <w:num w:numId="7" w16cid:durableId="327905536">
    <w:abstractNumId w:val="0"/>
    <w:lvlOverride w:ilvl="0">
      <w:lvl w:ilvl="0">
        <w:start w:val="1"/>
        <w:numFmt w:val="decimal"/>
        <w:lvlText w:val="%1"/>
        <w:lvlJc w:val="left"/>
        <w:pPr>
          <w:tabs>
            <w:tab w:val="num" w:pos="705"/>
          </w:tabs>
          <w:ind w:left="705" w:hanging="705"/>
        </w:pPr>
        <w:rPr>
          <w:rFonts w:hint="default"/>
          <w:color w:val="auto"/>
        </w:rPr>
      </w:lvl>
    </w:lvlOverride>
    <w:lvlOverride w:ilvl="1">
      <w:lvl w:ilvl="1">
        <w:start w:val="1"/>
        <w:numFmt w:val="decimal"/>
        <w:pStyle w:val="berschrift4"/>
        <w:lvlText w:val="%1.%2"/>
        <w:lvlJc w:val="left"/>
        <w:pPr>
          <w:tabs>
            <w:tab w:val="num" w:pos="705"/>
          </w:tabs>
          <w:ind w:left="705" w:hanging="705"/>
        </w:pPr>
        <w:rPr>
          <w:rFonts w:hint="default"/>
          <w:color w:val="auto"/>
        </w:rPr>
      </w:lvl>
    </w:lvlOverride>
    <w:lvlOverride w:ilvl="2">
      <w:lvl w:ilvl="2">
        <w:start w:val="1"/>
        <w:numFmt w:val="decimal"/>
        <w:lvlText w:val="%1.%2.%3"/>
        <w:lvlJc w:val="left"/>
        <w:pPr>
          <w:tabs>
            <w:tab w:val="num" w:pos="720"/>
          </w:tabs>
          <w:ind w:left="720" w:hanging="720"/>
        </w:pPr>
        <w:rPr>
          <w:rFonts w:hint="default"/>
          <w:color w:val="990099"/>
        </w:rPr>
      </w:lvl>
    </w:lvlOverride>
    <w:lvlOverride w:ilvl="3">
      <w:lvl w:ilvl="3">
        <w:start w:val="1"/>
        <w:numFmt w:val="decimal"/>
        <w:lvlText w:val="%1.%2.%3.%4"/>
        <w:lvlJc w:val="left"/>
        <w:pPr>
          <w:tabs>
            <w:tab w:val="num" w:pos="720"/>
          </w:tabs>
          <w:ind w:left="720" w:hanging="720"/>
        </w:pPr>
        <w:rPr>
          <w:rFonts w:hint="default"/>
          <w:color w:val="auto"/>
        </w:rPr>
      </w:lvl>
    </w:lvlOverride>
    <w:lvlOverride w:ilvl="4">
      <w:lvl w:ilvl="4">
        <w:start w:val="1"/>
        <w:numFmt w:val="decimal"/>
        <w:lvlText w:val="%1.%2.%3.%4.%5"/>
        <w:lvlJc w:val="left"/>
        <w:pPr>
          <w:tabs>
            <w:tab w:val="num" w:pos="1080"/>
          </w:tabs>
          <w:ind w:left="1080" w:hanging="1080"/>
        </w:pPr>
        <w:rPr>
          <w:rFonts w:hint="default"/>
          <w:color w:val="auto"/>
        </w:rPr>
      </w:lvl>
    </w:lvlOverride>
    <w:lvlOverride w:ilvl="5">
      <w:lvl w:ilvl="5">
        <w:start w:val="1"/>
        <w:numFmt w:val="decimal"/>
        <w:lvlText w:val="%1.%2.%3.%4.%5.%6"/>
        <w:lvlJc w:val="left"/>
        <w:pPr>
          <w:tabs>
            <w:tab w:val="num" w:pos="1080"/>
          </w:tabs>
          <w:ind w:left="1080" w:hanging="1080"/>
        </w:pPr>
        <w:rPr>
          <w:rFonts w:hint="default"/>
          <w:color w:val="auto"/>
        </w:rPr>
      </w:lvl>
    </w:lvlOverride>
    <w:lvlOverride w:ilvl="6">
      <w:lvl w:ilvl="6">
        <w:start w:val="1"/>
        <w:numFmt w:val="decimal"/>
        <w:lvlText w:val="%1.%2.%3.%4.%5.%6.%7"/>
        <w:lvlJc w:val="left"/>
        <w:pPr>
          <w:tabs>
            <w:tab w:val="num" w:pos="1440"/>
          </w:tabs>
          <w:ind w:left="1440" w:hanging="1440"/>
        </w:pPr>
        <w:rPr>
          <w:rFonts w:hint="default"/>
          <w:color w:val="auto"/>
        </w:rPr>
      </w:lvl>
    </w:lvlOverride>
    <w:lvlOverride w:ilvl="7">
      <w:lvl w:ilvl="7">
        <w:start w:val="1"/>
        <w:numFmt w:val="decimal"/>
        <w:lvlText w:val="%1.%2.%3.%4.%5.%6.%7.%8"/>
        <w:lvlJc w:val="left"/>
        <w:pPr>
          <w:tabs>
            <w:tab w:val="num" w:pos="1440"/>
          </w:tabs>
          <w:ind w:left="1440" w:hanging="1440"/>
        </w:pPr>
        <w:rPr>
          <w:rFonts w:hint="default"/>
          <w:color w:val="auto"/>
        </w:rPr>
      </w:lvl>
    </w:lvlOverride>
    <w:lvlOverride w:ilvl="8">
      <w:lvl w:ilvl="8">
        <w:start w:val="1"/>
        <w:numFmt w:val="decimal"/>
        <w:lvlText w:val="%1.%2.%3.%4.%5.%6.%7.%8.%9"/>
        <w:lvlJc w:val="left"/>
        <w:pPr>
          <w:tabs>
            <w:tab w:val="num" w:pos="1800"/>
          </w:tabs>
          <w:ind w:left="1800" w:hanging="1800"/>
        </w:pPr>
        <w:rPr>
          <w:rFonts w:hint="default"/>
          <w:color w:val="auto"/>
        </w:rPr>
      </w:lvl>
    </w:lvlOverride>
  </w:num>
  <w:num w:numId="8" w16cid:durableId="1755394237">
    <w:abstractNumId w:val="5"/>
  </w:num>
  <w:num w:numId="9" w16cid:durableId="1334068942">
    <w:abstractNumId w:val="2"/>
  </w:num>
  <w:num w:numId="10" w16cid:durableId="1033461761">
    <w:abstractNumId w:val="4"/>
  </w:num>
  <w:num w:numId="11" w16cid:durableId="44499315">
    <w:abstractNumId w:val="1"/>
  </w:num>
  <w:num w:numId="12" w16cid:durableId="1358697587">
    <w:abstractNumId w:val="0"/>
    <w:lvlOverride w:ilvl="0">
      <w:startOverride w:val="1"/>
      <w:lvl w:ilvl="0">
        <w:start w:val="1"/>
        <w:numFmt w:val="decimal"/>
        <w:lvlText w:val="%1"/>
        <w:lvlJc w:val="left"/>
        <w:pPr>
          <w:tabs>
            <w:tab w:val="num" w:pos="705"/>
          </w:tabs>
          <w:ind w:left="705" w:hanging="705"/>
        </w:pPr>
        <w:rPr>
          <w:rFonts w:hint="default"/>
          <w:color w:val="auto"/>
        </w:rPr>
      </w:lvl>
    </w:lvlOverride>
    <w:lvlOverride w:ilvl="1">
      <w:startOverride w:val="1"/>
      <w:lvl w:ilvl="1">
        <w:start w:val="1"/>
        <w:numFmt w:val="decimal"/>
        <w:pStyle w:val="berschrift4"/>
        <w:lvlText w:val="%1.%2"/>
        <w:lvlJc w:val="left"/>
        <w:pPr>
          <w:tabs>
            <w:tab w:val="num" w:pos="705"/>
          </w:tabs>
          <w:ind w:left="705" w:hanging="705"/>
        </w:pPr>
        <w:rPr>
          <w:rFonts w:hint="default"/>
          <w:color w:val="auto"/>
        </w:rPr>
      </w:lvl>
    </w:lvlOverride>
    <w:lvlOverride w:ilvl="2">
      <w:startOverride w:val="1"/>
      <w:lvl w:ilvl="2">
        <w:start w:val="1"/>
        <w:numFmt w:val="decimal"/>
        <w:lvlText w:val="%1.%2.%3"/>
        <w:lvlJc w:val="left"/>
        <w:pPr>
          <w:tabs>
            <w:tab w:val="num" w:pos="720"/>
          </w:tabs>
          <w:ind w:left="720" w:hanging="720"/>
        </w:pPr>
        <w:rPr>
          <w:rFonts w:hint="default"/>
          <w:color w:val="990099"/>
        </w:rPr>
      </w:lvl>
    </w:lvlOverride>
    <w:lvlOverride w:ilvl="3">
      <w:startOverride w:val="1"/>
      <w:lvl w:ilvl="3">
        <w:start w:val="1"/>
        <w:numFmt w:val="decimal"/>
        <w:lvlText w:val="%1.%2.%3.%4"/>
        <w:lvlJc w:val="left"/>
        <w:pPr>
          <w:tabs>
            <w:tab w:val="num" w:pos="720"/>
          </w:tabs>
          <w:ind w:left="720" w:hanging="720"/>
        </w:pPr>
        <w:rPr>
          <w:rFonts w:hint="default"/>
          <w:color w:val="auto"/>
        </w:rPr>
      </w:lvl>
    </w:lvlOverride>
    <w:lvlOverride w:ilvl="4">
      <w:startOverride w:val="1"/>
      <w:lvl w:ilvl="4">
        <w:start w:val="1"/>
        <w:numFmt w:val="decimal"/>
        <w:lvlText w:val="%1.%2.%3.%4.%5"/>
        <w:lvlJc w:val="left"/>
        <w:pPr>
          <w:tabs>
            <w:tab w:val="num" w:pos="1080"/>
          </w:tabs>
          <w:ind w:left="1080" w:hanging="1080"/>
        </w:pPr>
        <w:rPr>
          <w:rFonts w:hint="default"/>
          <w:color w:val="auto"/>
        </w:rPr>
      </w:lvl>
    </w:lvlOverride>
    <w:lvlOverride w:ilvl="5">
      <w:startOverride w:val="1"/>
      <w:lvl w:ilvl="5">
        <w:start w:val="1"/>
        <w:numFmt w:val="decimal"/>
        <w:lvlText w:val="%1.%2.%3.%4.%5.%6"/>
        <w:lvlJc w:val="left"/>
        <w:pPr>
          <w:tabs>
            <w:tab w:val="num" w:pos="1080"/>
          </w:tabs>
          <w:ind w:left="1080" w:hanging="1080"/>
        </w:pPr>
        <w:rPr>
          <w:rFonts w:hint="default"/>
          <w:color w:val="auto"/>
        </w:rPr>
      </w:lvl>
    </w:lvlOverride>
    <w:lvlOverride w:ilvl="6">
      <w:startOverride w:val="1"/>
      <w:lvl w:ilvl="6">
        <w:start w:val="1"/>
        <w:numFmt w:val="decimal"/>
        <w:lvlText w:val="%1.%2.%3.%4.%5.%6.%7"/>
        <w:lvlJc w:val="left"/>
        <w:pPr>
          <w:tabs>
            <w:tab w:val="num" w:pos="1440"/>
          </w:tabs>
          <w:ind w:left="1440" w:hanging="1440"/>
        </w:pPr>
        <w:rPr>
          <w:rFonts w:hint="default"/>
          <w:color w:val="auto"/>
        </w:rPr>
      </w:lvl>
    </w:lvlOverride>
    <w:lvlOverride w:ilvl="7">
      <w:startOverride w:val="1"/>
      <w:lvl w:ilvl="7">
        <w:start w:val="1"/>
        <w:numFmt w:val="decimal"/>
        <w:lvlText w:val="%1.%2.%3.%4.%5.%6.%7.%8"/>
        <w:lvlJc w:val="left"/>
        <w:pPr>
          <w:tabs>
            <w:tab w:val="num" w:pos="1440"/>
          </w:tabs>
          <w:ind w:left="1440" w:hanging="1440"/>
        </w:pPr>
        <w:rPr>
          <w:rFonts w:hint="default"/>
          <w:color w:val="auto"/>
        </w:rPr>
      </w:lvl>
    </w:lvlOverride>
    <w:lvlOverride w:ilvl="8">
      <w:startOverride w:val="1"/>
      <w:lvl w:ilvl="8">
        <w:start w:val="1"/>
        <w:numFmt w:val="decimal"/>
        <w:lvlText w:val="%1.%2.%3.%4.%5.%6.%7.%8.%9"/>
        <w:lvlJc w:val="left"/>
        <w:pPr>
          <w:tabs>
            <w:tab w:val="num" w:pos="1800"/>
          </w:tabs>
          <w:ind w:left="1800" w:hanging="1800"/>
        </w:pPr>
        <w:rPr>
          <w:rFonts w:hint="default"/>
          <w:color w:val="auto"/>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GB" w:vendorID="64" w:dllVersion="6" w:nlCheck="1" w:checkStyle="1"/>
  <w:activeWritingStyle w:appName="MSWord" w:lang="de-DE" w:vendorID="64" w:dllVersion="6" w:nlCheck="1" w:checkStyle="0"/>
  <w:activeWritingStyle w:appName="MSWord" w:lang="fr-FR" w:vendorID="64" w:dllVersion="6" w:nlCheck="1" w:checkStyle="1"/>
  <w:activeWritingStyle w:appName="MSWord" w:lang="en-US" w:vendorID="64" w:dllVersion="6" w:nlCheck="1" w:checkStyle="1"/>
  <w:activeWritingStyle w:appName="MSWord" w:lang="fr-BE" w:vendorID="64" w:dllVersion="6" w:nlCheck="1" w:checkStyle="1"/>
  <w:activeWritingStyle w:appName="MSWord" w:lang="de-AT" w:vendorID="64" w:dllVersion="6" w:nlCheck="1" w:checkStyle="1"/>
  <w:activeWritingStyle w:appName="MSWord" w:lang="fr-029" w:vendorID="64" w:dllVersion="6" w:nlCheck="1" w:checkStyle="1"/>
  <w:activeWritingStyle w:appName="MSWord" w:lang="de-A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BF"/>
    <w:rsid w:val="0000023F"/>
    <w:rsid w:val="00000AAB"/>
    <w:rsid w:val="0000368B"/>
    <w:rsid w:val="000038D5"/>
    <w:rsid w:val="00003F3E"/>
    <w:rsid w:val="000040EF"/>
    <w:rsid w:val="000053EA"/>
    <w:rsid w:val="000063E7"/>
    <w:rsid w:val="00007D5C"/>
    <w:rsid w:val="00010D57"/>
    <w:rsid w:val="00010F38"/>
    <w:rsid w:val="000111B9"/>
    <w:rsid w:val="000125DE"/>
    <w:rsid w:val="00012A4A"/>
    <w:rsid w:val="00013A4C"/>
    <w:rsid w:val="00014C2D"/>
    <w:rsid w:val="00014FF6"/>
    <w:rsid w:val="000151EB"/>
    <w:rsid w:val="00016872"/>
    <w:rsid w:val="00016A22"/>
    <w:rsid w:val="00017184"/>
    <w:rsid w:val="00020DD8"/>
    <w:rsid w:val="000218BD"/>
    <w:rsid w:val="000221BA"/>
    <w:rsid w:val="0002331B"/>
    <w:rsid w:val="0002409E"/>
    <w:rsid w:val="000249AD"/>
    <w:rsid w:val="00027CA3"/>
    <w:rsid w:val="000302C9"/>
    <w:rsid w:val="00030A2F"/>
    <w:rsid w:val="0003125F"/>
    <w:rsid w:val="0003234E"/>
    <w:rsid w:val="0003377A"/>
    <w:rsid w:val="00035686"/>
    <w:rsid w:val="00037AD6"/>
    <w:rsid w:val="00037BDA"/>
    <w:rsid w:val="00037C26"/>
    <w:rsid w:val="000409AA"/>
    <w:rsid w:val="0004140B"/>
    <w:rsid w:val="000426C8"/>
    <w:rsid w:val="00042F29"/>
    <w:rsid w:val="000440F6"/>
    <w:rsid w:val="00044238"/>
    <w:rsid w:val="00044602"/>
    <w:rsid w:val="000448A7"/>
    <w:rsid w:val="00044DE7"/>
    <w:rsid w:val="00045616"/>
    <w:rsid w:val="0004570B"/>
    <w:rsid w:val="00045800"/>
    <w:rsid w:val="000462B0"/>
    <w:rsid w:val="0005063E"/>
    <w:rsid w:val="00050ABC"/>
    <w:rsid w:val="00050F0A"/>
    <w:rsid w:val="000516CE"/>
    <w:rsid w:val="00054366"/>
    <w:rsid w:val="00056F9B"/>
    <w:rsid w:val="0005793C"/>
    <w:rsid w:val="00060233"/>
    <w:rsid w:val="00060DA6"/>
    <w:rsid w:val="00065A00"/>
    <w:rsid w:val="00066CF6"/>
    <w:rsid w:val="00067898"/>
    <w:rsid w:val="00071436"/>
    <w:rsid w:val="000725C4"/>
    <w:rsid w:val="00072AC7"/>
    <w:rsid w:val="000730AE"/>
    <w:rsid w:val="000737D8"/>
    <w:rsid w:val="00073FED"/>
    <w:rsid w:val="00075708"/>
    <w:rsid w:val="0007572D"/>
    <w:rsid w:val="000808F8"/>
    <w:rsid w:val="00084783"/>
    <w:rsid w:val="000863A7"/>
    <w:rsid w:val="00087D8B"/>
    <w:rsid w:val="000904AF"/>
    <w:rsid w:val="00090F29"/>
    <w:rsid w:val="0009214E"/>
    <w:rsid w:val="00094812"/>
    <w:rsid w:val="000949B7"/>
    <w:rsid w:val="000963F5"/>
    <w:rsid w:val="00097773"/>
    <w:rsid w:val="000A0A80"/>
    <w:rsid w:val="000A1ACA"/>
    <w:rsid w:val="000A28EC"/>
    <w:rsid w:val="000A2B28"/>
    <w:rsid w:val="000A2E8D"/>
    <w:rsid w:val="000A3393"/>
    <w:rsid w:val="000A524A"/>
    <w:rsid w:val="000A669B"/>
    <w:rsid w:val="000A6EA2"/>
    <w:rsid w:val="000A7128"/>
    <w:rsid w:val="000B17C7"/>
    <w:rsid w:val="000B3145"/>
    <w:rsid w:val="000B3FC7"/>
    <w:rsid w:val="000B41F3"/>
    <w:rsid w:val="000C2C70"/>
    <w:rsid w:val="000C52F4"/>
    <w:rsid w:val="000C567F"/>
    <w:rsid w:val="000D2548"/>
    <w:rsid w:val="000D28FD"/>
    <w:rsid w:val="000D68D0"/>
    <w:rsid w:val="000D75DC"/>
    <w:rsid w:val="000E0893"/>
    <w:rsid w:val="000E1103"/>
    <w:rsid w:val="000E16AB"/>
    <w:rsid w:val="000E1E9E"/>
    <w:rsid w:val="000E31C7"/>
    <w:rsid w:val="000E460C"/>
    <w:rsid w:val="000E5DB8"/>
    <w:rsid w:val="000E66E8"/>
    <w:rsid w:val="000E72ED"/>
    <w:rsid w:val="000E7573"/>
    <w:rsid w:val="000F0FBD"/>
    <w:rsid w:val="000F14F6"/>
    <w:rsid w:val="000F25B5"/>
    <w:rsid w:val="000F2CE8"/>
    <w:rsid w:val="000F3237"/>
    <w:rsid w:val="000F3B1E"/>
    <w:rsid w:val="000F50EB"/>
    <w:rsid w:val="000F5EE0"/>
    <w:rsid w:val="000F5F50"/>
    <w:rsid w:val="000F696B"/>
    <w:rsid w:val="000F7F16"/>
    <w:rsid w:val="000F7F79"/>
    <w:rsid w:val="0010213E"/>
    <w:rsid w:val="00102556"/>
    <w:rsid w:val="00103237"/>
    <w:rsid w:val="00104B8A"/>
    <w:rsid w:val="00106D83"/>
    <w:rsid w:val="00107A3B"/>
    <w:rsid w:val="0011068A"/>
    <w:rsid w:val="0011271A"/>
    <w:rsid w:val="00113100"/>
    <w:rsid w:val="001139AD"/>
    <w:rsid w:val="0011435B"/>
    <w:rsid w:val="00115355"/>
    <w:rsid w:val="00115783"/>
    <w:rsid w:val="00115C53"/>
    <w:rsid w:val="00117B8B"/>
    <w:rsid w:val="00130FBF"/>
    <w:rsid w:val="00131B51"/>
    <w:rsid w:val="0013220E"/>
    <w:rsid w:val="00132E0E"/>
    <w:rsid w:val="001361D5"/>
    <w:rsid w:val="0013779E"/>
    <w:rsid w:val="00140A0A"/>
    <w:rsid w:val="0014478E"/>
    <w:rsid w:val="001458B5"/>
    <w:rsid w:val="00145F72"/>
    <w:rsid w:val="00146559"/>
    <w:rsid w:val="00147773"/>
    <w:rsid w:val="00147A0C"/>
    <w:rsid w:val="00150ADE"/>
    <w:rsid w:val="00150C01"/>
    <w:rsid w:val="00151E1A"/>
    <w:rsid w:val="001530C8"/>
    <w:rsid w:val="001535C9"/>
    <w:rsid w:val="0015385B"/>
    <w:rsid w:val="00153A59"/>
    <w:rsid w:val="00156085"/>
    <w:rsid w:val="00157783"/>
    <w:rsid w:val="00157B65"/>
    <w:rsid w:val="00160849"/>
    <w:rsid w:val="00160EEC"/>
    <w:rsid w:val="00161FFC"/>
    <w:rsid w:val="00162B03"/>
    <w:rsid w:val="00162B6E"/>
    <w:rsid w:val="001635B4"/>
    <w:rsid w:val="0016583C"/>
    <w:rsid w:val="00166182"/>
    <w:rsid w:val="0016633E"/>
    <w:rsid w:val="00166B46"/>
    <w:rsid w:val="00167A66"/>
    <w:rsid w:val="00171117"/>
    <w:rsid w:val="00171297"/>
    <w:rsid w:val="00171586"/>
    <w:rsid w:val="0017161A"/>
    <w:rsid w:val="00172FD8"/>
    <w:rsid w:val="00174A56"/>
    <w:rsid w:val="00176182"/>
    <w:rsid w:val="001766FC"/>
    <w:rsid w:val="00176C8D"/>
    <w:rsid w:val="001772E6"/>
    <w:rsid w:val="00177554"/>
    <w:rsid w:val="00177919"/>
    <w:rsid w:val="00181DC4"/>
    <w:rsid w:val="00182F73"/>
    <w:rsid w:val="00182FDA"/>
    <w:rsid w:val="001832CE"/>
    <w:rsid w:val="00183787"/>
    <w:rsid w:val="00187650"/>
    <w:rsid w:val="00187692"/>
    <w:rsid w:val="00190C1C"/>
    <w:rsid w:val="001937E0"/>
    <w:rsid w:val="001938C5"/>
    <w:rsid w:val="0019550D"/>
    <w:rsid w:val="00196802"/>
    <w:rsid w:val="001979FE"/>
    <w:rsid w:val="001A06EC"/>
    <w:rsid w:val="001A1901"/>
    <w:rsid w:val="001A2816"/>
    <w:rsid w:val="001A2E16"/>
    <w:rsid w:val="001A3289"/>
    <w:rsid w:val="001A3BF5"/>
    <w:rsid w:val="001A5FFE"/>
    <w:rsid w:val="001A755E"/>
    <w:rsid w:val="001A7639"/>
    <w:rsid w:val="001B1228"/>
    <w:rsid w:val="001B12F7"/>
    <w:rsid w:val="001B15BC"/>
    <w:rsid w:val="001B2873"/>
    <w:rsid w:val="001B34DC"/>
    <w:rsid w:val="001B35E5"/>
    <w:rsid w:val="001B374C"/>
    <w:rsid w:val="001B4E63"/>
    <w:rsid w:val="001B654D"/>
    <w:rsid w:val="001B782A"/>
    <w:rsid w:val="001C188F"/>
    <w:rsid w:val="001C1940"/>
    <w:rsid w:val="001C2779"/>
    <w:rsid w:val="001C2A2B"/>
    <w:rsid w:val="001C3988"/>
    <w:rsid w:val="001C6B64"/>
    <w:rsid w:val="001C6BCE"/>
    <w:rsid w:val="001C6FB0"/>
    <w:rsid w:val="001C7069"/>
    <w:rsid w:val="001D3261"/>
    <w:rsid w:val="001D3C88"/>
    <w:rsid w:val="001D5D50"/>
    <w:rsid w:val="001D6EC9"/>
    <w:rsid w:val="001D7474"/>
    <w:rsid w:val="001D7FCD"/>
    <w:rsid w:val="001E1067"/>
    <w:rsid w:val="001E1182"/>
    <w:rsid w:val="001E1E5C"/>
    <w:rsid w:val="001E1EF7"/>
    <w:rsid w:val="001E453D"/>
    <w:rsid w:val="001E4C47"/>
    <w:rsid w:val="001E52A2"/>
    <w:rsid w:val="001E5C3C"/>
    <w:rsid w:val="001E5D48"/>
    <w:rsid w:val="001E7BDF"/>
    <w:rsid w:val="001F1832"/>
    <w:rsid w:val="001F1D86"/>
    <w:rsid w:val="001F4EC5"/>
    <w:rsid w:val="001F769F"/>
    <w:rsid w:val="00200A55"/>
    <w:rsid w:val="00201568"/>
    <w:rsid w:val="00201E3D"/>
    <w:rsid w:val="002022B5"/>
    <w:rsid w:val="002031C3"/>
    <w:rsid w:val="002078EA"/>
    <w:rsid w:val="002113DF"/>
    <w:rsid w:val="00211FFC"/>
    <w:rsid w:val="0021358A"/>
    <w:rsid w:val="002147CF"/>
    <w:rsid w:val="00214DD7"/>
    <w:rsid w:val="00215F14"/>
    <w:rsid w:val="00215FCF"/>
    <w:rsid w:val="002164DF"/>
    <w:rsid w:val="00216771"/>
    <w:rsid w:val="00221891"/>
    <w:rsid w:val="0022281D"/>
    <w:rsid w:val="0022368C"/>
    <w:rsid w:val="002243E0"/>
    <w:rsid w:val="0022443D"/>
    <w:rsid w:val="00224D1B"/>
    <w:rsid w:val="0022635C"/>
    <w:rsid w:val="00226548"/>
    <w:rsid w:val="00227F34"/>
    <w:rsid w:val="00230778"/>
    <w:rsid w:val="00232817"/>
    <w:rsid w:val="0023333F"/>
    <w:rsid w:val="002345D9"/>
    <w:rsid w:val="00235124"/>
    <w:rsid w:val="00235F6A"/>
    <w:rsid w:val="002401FB"/>
    <w:rsid w:val="00240CBC"/>
    <w:rsid w:val="002433EB"/>
    <w:rsid w:val="0024434C"/>
    <w:rsid w:val="00244DEB"/>
    <w:rsid w:val="002462F0"/>
    <w:rsid w:val="002514C3"/>
    <w:rsid w:val="00251C7C"/>
    <w:rsid w:val="002522B1"/>
    <w:rsid w:val="00253CF0"/>
    <w:rsid w:val="0025584D"/>
    <w:rsid w:val="0025637F"/>
    <w:rsid w:val="00257ED9"/>
    <w:rsid w:val="00260BF2"/>
    <w:rsid w:val="00260C7D"/>
    <w:rsid w:val="00262AAB"/>
    <w:rsid w:val="00263DF4"/>
    <w:rsid w:val="0026497A"/>
    <w:rsid w:val="002650A3"/>
    <w:rsid w:val="00265F81"/>
    <w:rsid w:val="002668D7"/>
    <w:rsid w:val="00272B4C"/>
    <w:rsid w:val="00272CB3"/>
    <w:rsid w:val="00273160"/>
    <w:rsid w:val="00275A2C"/>
    <w:rsid w:val="0027637A"/>
    <w:rsid w:val="002764CD"/>
    <w:rsid w:val="002776F1"/>
    <w:rsid w:val="00277B83"/>
    <w:rsid w:val="002805FE"/>
    <w:rsid w:val="00280D0A"/>
    <w:rsid w:val="00283F5F"/>
    <w:rsid w:val="00284C97"/>
    <w:rsid w:val="002866D8"/>
    <w:rsid w:val="00287086"/>
    <w:rsid w:val="00287141"/>
    <w:rsid w:val="002942A1"/>
    <w:rsid w:val="0029450D"/>
    <w:rsid w:val="00294E9E"/>
    <w:rsid w:val="0029608C"/>
    <w:rsid w:val="00297DA6"/>
    <w:rsid w:val="002A054F"/>
    <w:rsid w:val="002A1652"/>
    <w:rsid w:val="002A1979"/>
    <w:rsid w:val="002A19FC"/>
    <w:rsid w:val="002A23E1"/>
    <w:rsid w:val="002A2902"/>
    <w:rsid w:val="002A531D"/>
    <w:rsid w:val="002A679D"/>
    <w:rsid w:val="002B03E1"/>
    <w:rsid w:val="002B2914"/>
    <w:rsid w:val="002B3B57"/>
    <w:rsid w:val="002B46B2"/>
    <w:rsid w:val="002B6122"/>
    <w:rsid w:val="002B7F8D"/>
    <w:rsid w:val="002C10CF"/>
    <w:rsid w:val="002C1466"/>
    <w:rsid w:val="002C3BEE"/>
    <w:rsid w:val="002C4F6D"/>
    <w:rsid w:val="002C664C"/>
    <w:rsid w:val="002C6FA0"/>
    <w:rsid w:val="002D0F11"/>
    <w:rsid w:val="002D2193"/>
    <w:rsid w:val="002D2639"/>
    <w:rsid w:val="002D3596"/>
    <w:rsid w:val="002D54E9"/>
    <w:rsid w:val="002E23E7"/>
    <w:rsid w:val="002E2809"/>
    <w:rsid w:val="002E2FD1"/>
    <w:rsid w:val="002E3E93"/>
    <w:rsid w:val="002E515E"/>
    <w:rsid w:val="002E5617"/>
    <w:rsid w:val="002F0CCE"/>
    <w:rsid w:val="002F1645"/>
    <w:rsid w:val="002F1895"/>
    <w:rsid w:val="002F39E2"/>
    <w:rsid w:val="002F40F3"/>
    <w:rsid w:val="002F50A9"/>
    <w:rsid w:val="002F710F"/>
    <w:rsid w:val="003025DA"/>
    <w:rsid w:val="0030283A"/>
    <w:rsid w:val="00302C7F"/>
    <w:rsid w:val="00302E78"/>
    <w:rsid w:val="00303651"/>
    <w:rsid w:val="00303D4A"/>
    <w:rsid w:val="003042ED"/>
    <w:rsid w:val="00305D4C"/>
    <w:rsid w:val="003072CD"/>
    <w:rsid w:val="0031097B"/>
    <w:rsid w:val="00311893"/>
    <w:rsid w:val="00312A77"/>
    <w:rsid w:val="00313510"/>
    <w:rsid w:val="0031422A"/>
    <w:rsid w:val="003153E3"/>
    <w:rsid w:val="0031612B"/>
    <w:rsid w:val="0031717E"/>
    <w:rsid w:val="00320CE5"/>
    <w:rsid w:val="00321198"/>
    <w:rsid w:val="003215C5"/>
    <w:rsid w:val="0032333E"/>
    <w:rsid w:val="00324453"/>
    <w:rsid w:val="00324653"/>
    <w:rsid w:val="00327FC6"/>
    <w:rsid w:val="003305EE"/>
    <w:rsid w:val="003320A5"/>
    <w:rsid w:val="0033276D"/>
    <w:rsid w:val="00334D30"/>
    <w:rsid w:val="00336A2F"/>
    <w:rsid w:val="00336FAE"/>
    <w:rsid w:val="003378F5"/>
    <w:rsid w:val="00340D4D"/>
    <w:rsid w:val="0034198F"/>
    <w:rsid w:val="00341A67"/>
    <w:rsid w:val="0034397B"/>
    <w:rsid w:val="0034534A"/>
    <w:rsid w:val="00347D35"/>
    <w:rsid w:val="00352537"/>
    <w:rsid w:val="00356392"/>
    <w:rsid w:val="00356C08"/>
    <w:rsid w:val="0035740D"/>
    <w:rsid w:val="00357EEC"/>
    <w:rsid w:val="0036069B"/>
    <w:rsid w:val="00361A4D"/>
    <w:rsid w:val="003627B2"/>
    <w:rsid w:val="00362F95"/>
    <w:rsid w:val="0036390F"/>
    <w:rsid w:val="00364B38"/>
    <w:rsid w:val="0036524F"/>
    <w:rsid w:val="00365471"/>
    <w:rsid w:val="00367437"/>
    <w:rsid w:val="00370FCF"/>
    <w:rsid w:val="003713AF"/>
    <w:rsid w:val="003717A5"/>
    <w:rsid w:val="00372F0A"/>
    <w:rsid w:val="00374CD8"/>
    <w:rsid w:val="00375240"/>
    <w:rsid w:val="00375F01"/>
    <w:rsid w:val="00376E25"/>
    <w:rsid w:val="00380A39"/>
    <w:rsid w:val="0038161C"/>
    <w:rsid w:val="00382AFD"/>
    <w:rsid w:val="00384AB5"/>
    <w:rsid w:val="003859E2"/>
    <w:rsid w:val="003864E7"/>
    <w:rsid w:val="00386BE3"/>
    <w:rsid w:val="003912DD"/>
    <w:rsid w:val="00394E15"/>
    <w:rsid w:val="00394E58"/>
    <w:rsid w:val="00397231"/>
    <w:rsid w:val="003A0B11"/>
    <w:rsid w:val="003A1564"/>
    <w:rsid w:val="003A1825"/>
    <w:rsid w:val="003A34F0"/>
    <w:rsid w:val="003A44D2"/>
    <w:rsid w:val="003A4588"/>
    <w:rsid w:val="003A6824"/>
    <w:rsid w:val="003A6AF8"/>
    <w:rsid w:val="003A7AB2"/>
    <w:rsid w:val="003B28C8"/>
    <w:rsid w:val="003B29ED"/>
    <w:rsid w:val="003B3D2F"/>
    <w:rsid w:val="003B41DD"/>
    <w:rsid w:val="003B4321"/>
    <w:rsid w:val="003B4556"/>
    <w:rsid w:val="003B652D"/>
    <w:rsid w:val="003C2A09"/>
    <w:rsid w:val="003C3207"/>
    <w:rsid w:val="003C4545"/>
    <w:rsid w:val="003C4AF7"/>
    <w:rsid w:val="003C4CA1"/>
    <w:rsid w:val="003C7707"/>
    <w:rsid w:val="003D231C"/>
    <w:rsid w:val="003D5090"/>
    <w:rsid w:val="003D5249"/>
    <w:rsid w:val="003D5F1B"/>
    <w:rsid w:val="003D5FF6"/>
    <w:rsid w:val="003E003C"/>
    <w:rsid w:val="003E10F8"/>
    <w:rsid w:val="003E1809"/>
    <w:rsid w:val="003E2F83"/>
    <w:rsid w:val="003E3D67"/>
    <w:rsid w:val="003E45E2"/>
    <w:rsid w:val="003E518B"/>
    <w:rsid w:val="003E5C01"/>
    <w:rsid w:val="003E64AE"/>
    <w:rsid w:val="003E6A18"/>
    <w:rsid w:val="003E6A25"/>
    <w:rsid w:val="003E6DC8"/>
    <w:rsid w:val="003E6F33"/>
    <w:rsid w:val="003F2054"/>
    <w:rsid w:val="003F2D5C"/>
    <w:rsid w:val="003F3292"/>
    <w:rsid w:val="003F3BD7"/>
    <w:rsid w:val="003F41CA"/>
    <w:rsid w:val="003F4274"/>
    <w:rsid w:val="003F6F60"/>
    <w:rsid w:val="003F743B"/>
    <w:rsid w:val="003F79F6"/>
    <w:rsid w:val="003F7D0F"/>
    <w:rsid w:val="00400773"/>
    <w:rsid w:val="00400D6F"/>
    <w:rsid w:val="00400FDB"/>
    <w:rsid w:val="004020EF"/>
    <w:rsid w:val="00402C62"/>
    <w:rsid w:val="00402CB3"/>
    <w:rsid w:val="00402EA5"/>
    <w:rsid w:val="00406AA5"/>
    <w:rsid w:val="00406FAB"/>
    <w:rsid w:val="00407771"/>
    <w:rsid w:val="00407862"/>
    <w:rsid w:val="004078AC"/>
    <w:rsid w:val="00411F38"/>
    <w:rsid w:val="004127E4"/>
    <w:rsid w:val="004142D7"/>
    <w:rsid w:val="00414790"/>
    <w:rsid w:val="0041592D"/>
    <w:rsid w:val="004170A7"/>
    <w:rsid w:val="00417919"/>
    <w:rsid w:val="00417C0A"/>
    <w:rsid w:val="0042043B"/>
    <w:rsid w:val="0042060E"/>
    <w:rsid w:val="004222BA"/>
    <w:rsid w:val="00425E3B"/>
    <w:rsid w:val="00425FD8"/>
    <w:rsid w:val="00425FF2"/>
    <w:rsid w:val="004279B9"/>
    <w:rsid w:val="0043072E"/>
    <w:rsid w:val="00430781"/>
    <w:rsid w:val="00431327"/>
    <w:rsid w:val="0043216D"/>
    <w:rsid w:val="004328B1"/>
    <w:rsid w:val="00432CDB"/>
    <w:rsid w:val="00433AC8"/>
    <w:rsid w:val="00435AF5"/>
    <w:rsid w:val="00436F35"/>
    <w:rsid w:val="00440D26"/>
    <w:rsid w:val="004415BF"/>
    <w:rsid w:val="00442EFE"/>
    <w:rsid w:val="00447CB1"/>
    <w:rsid w:val="00450C87"/>
    <w:rsid w:val="00451597"/>
    <w:rsid w:val="004524C0"/>
    <w:rsid w:val="00453737"/>
    <w:rsid w:val="00454492"/>
    <w:rsid w:val="00454D63"/>
    <w:rsid w:val="00457343"/>
    <w:rsid w:val="004604CD"/>
    <w:rsid w:val="004622FA"/>
    <w:rsid w:val="004645D1"/>
    <w:rsid w:val="004646E6"/>
    <w:rsid w:val="004673BA"/>
    <w:rsid w:val="004676CD"/>
    <w:rsid w:val="00470430"/>
    <w:rsid w:val="004713E0"/>
    <w:rsid w:val="00471CE5"/>
    <w:rsid w:val="004744EC"/>
    <w:rsid w:val="00475781"/>
    <w:rsid w:val="004762FA"/>
    <w:rsid w:val="004775C2"/>
    <w:rsid w:val="004830F8"/>
    <w:rsid w:val="004848D3"/>
    <w:rsid w:val="004850DD"/>
    <w:rsid w:val="004858B9"/>
    <w:rsid w:val="00486568"/>
    <w:rsid w:val="004875C6"/>
    <w:rsid w:val="004916E5"/>
    <w:rsid w:val="004943F1"/>
    <w:rsid w:val="004944A1"/>
    <w:rsid w:val="0049614C"/>
    <w:rsid w:val="00496FD1"/>
    <w:rsid w:val="00496FE5"/>
    <w:rsid w:val="0049720E"/>
    <w:rsid w:val="004A11D6"/>
    <w:rsid w:val="004A2476"/>
    <w:rsid w:val="004A2B97"/>
    <w:rsid w:val="004A2E5B"/>
    <w:rsid w:val="004A3067"/>
    <w:rsid w:val="004A3D14"/>
    <w:rsid w:val="004A6622"/>
    <w:rsid w:val="004A674A"/>
    <w:rsid w:val="004B1451"/>
    <w:rsid w:val="004B202C"/>
    <w:rsid w:val="004B2332"/>
    <w:rsid w:val="004B2525"/>
    <w:rsid w:val="004B2D52"/>
    <w:rsid w:val="004B3C2F"/>
    <w:rsid w:val="004B4994"/>
    <w:rsid w:val="004B5F75"/>
    <w:rsid w:val="004B7676"/>
    <w:rsid w:val="004C022F"/>
    <w:rsid w:val="004C029B"/>
    <w:rsid w:val="004C02CF"/>
    <w:rsid w:val="004C1C73"/>
    <w:rsid w:val="004C2C00"/>
    <w:rsid w:val="004C3356"/>
    <w:rsid w:val="004C34AF"/>
    <w:rsid w:val="004C510E"/>
    <w:rsid w:val="004C5367"/>
    <w:rsid w:val="004C5A19"/>
    <w:rsid w:val="004C6B78"/>
    <w:rsid w:val="004C789F"/>
    <w:rsid w:val="004D102C"/>
    <w:rsid w:val="004D2636"/>
    <w:rsid w:val="004D2D85"/>
    <w:rsid w:val="004D43C6"/>
    <w:rsid w:val="004D4A65"/>
    <w:rsid w:val="004D7895"/>
    <w:rsid w:val="004E0BCA"/>
    <w:rsid w:val="004E22C8"/>
    <w:rsid w:val="004E276D"/>
    <w:rsid w:val="004E2EB8"/>
    <w:rsid w:val="004E3824"/>
    <w:rsid w:val="004E466D"/>
    <w:rsid w:val="004E580B"/>
    <w:rsid w:val="004E62B3"/>
    <w:rsid w:val="004F104F"/>
    <w:rsid w:val="004F2809"/>
    <w:rsid w:val="004F4866"/>
    <w:rsid w:val="004F6112"/>
    <w:rsid w:val="00500330"/>
    <w:rsid w:val="00500DF3"/>
    <w:rsid w:val="00501954"/>
    <w:rsid w:val="00502444"/>
    <w:rsid w:val="00502B35"/>
    <w:rsid w:val="0050480C"/>
    <w:rsid w:val="00505F5B"/>
    <w:rsid w:val="00506399"/>
    <w:rsid w:val="00506CFC"/>
    <w:rsid w:val="00507592"/>
    <w:rsid w:val="00507C22"/>
    <w:rsid w:val="00510295"/>
    <w:rsid w:val="00510471"/>
    <w:rsid w:val="005110CC"/>
    <w:rsid w:val="00511DB7"/>
    <w:rsid w:val="00512DC2"/>
    <w:rsid w:val="00512F6A"/>
    <w:rsid w:val="00514DCA"/>
    <w:rsid w:val="00516137"/>
    <w:rsid w:val="00516D1C"/>
    <w:rsid w:val="00516FAF"/>
    <w:rsid w:val="00517CD1"/>
    <w:rsid w:val="0052142C"/>
    <w:rsid w:val="00523BD8"/>
    <w:rsid w:val="00523D53"/>
    <w:rsid w:val="00525C9F"/>
    <w:rsid w:val="00531730"/>
    <w:rsid w:val="0053205B"/>
    <w:rsid w:val="00533C6E"/>
    <w:rsid w:val="0053501C"/>
    <w:rsid w:val="0054171B"/>
    <w:rsid w:val="0054181F"/>
    <w:rsid w:val="0054332C"/>
    <w:rsid w:val="00544443"/>
    <w:rsid w:val="005444A0"/>
    <w:rsid w:val="00545517"/>
    <w:rsid w:val="00547DBC"/>
    <w:rsid w:val="00550361"/>
    <w:rsid w:val="00551083"/>
    <w:rsid w:val="00554065"/>
    <w:rsid w:val="005603A0"/>
    <w:rsid w:val="00561A56"/>
    <w:rsid w:val="005622F8"/>
    <w:rsid w:val="005628BE"/>
    <w:rsid w:val="0056450A"/>
    <w:rsid w:val="005646B1"/>
    <w:rsid w:val="005646EC"/>
    <w:rsid w:val="00564CAA"/>
    <w:rsid w:val="00570C3C"/>
    <w:rsid w:val="005714CF"/>
    <w:rsid w:val="00574793"/>
    <w:rsid w:val="00576CA7"/>
    <w:rsid w:val="00577273"/>
    <w:rsid w:val="00577CC4"/>
    <w:rsid w:val="00577CE4"/>
    <w:rsid w:val="005850A6"/>
    <w:rsid w:val="00585614"/>
    <w:rsid w:val="0058596D"/>
    <w:rsid w:val="00587B26"/>
    <w:rsid w:val="0059010D"/>
    <w:rsid w:val="00591651"/>
    <w:rsid w:val="00592692"/>
    <w:rsid w:val="005931D0"/>
    <w:rsid w:val="00593751"/>
    <w:rsid w:val="00593AE6"/>
    <w:rsid w:val="00593EC1"/>
    <w:rsid w:val="0059698C"/>
    <w:rsid w:val="00597674"/>
    <w:rsid w:val="005A0E35"/>
    <w:rsid w:val="005A2A74"/>
    <w:rsid w:val="005A5862"/>
    <w:rsid w:val="005B0128"/>
    <w:rsid w:val="005B1507"/>
    <w:rsid w:val="005B3492"/>
    <w:rsid w:val="005B36C3"/>
    <w:rsid w:val="005B5B06"/>
    <w:rsid w:val="005B697E"/>
    <w:rsid w:val="005B7ACB"/>
    <w:rsid w:val="005C0A85"/>
    <w:rsid w:val="005C11C1"/>
    <w:rsid w:val="005C27FA"/>
    <w:rsid w:val="005C2FD9"/>
    <w:rsid w:val="005C3BBD"/>
    <w:rsid w:val="005C4100"/>
    <w:rsid w:val="005C605B"/>
    <w:rsid w:val="005C7E0F"/>
    <w:rsid w:val="005D07E0"/>
    <w:rsid w:val="005D33AB"/>
    <w:rsid w:val="005D3E7A"/>
    <w:rsid w:val="005D4EA1"/>
    <w:rsid w:val="005D6A28"/>
    <w:rsid w:val="005D7257"/>
    <w:rsid w:val="005E23FE"/>
    <w:rsid w:val="005E36B8"/>
    <w:rsid w:val="005E4036"/>
    <w:rsid w:val="005E7297"/>
    <w:rsid w:val="005F3CF6"/>
    <w:rsid w:val="005F4429"/>
    <w:rsid w:val="005F5AA2"/>
    <w:rsid w:val="005F6560"/>
    <w:rsid w:val="005F7840"/>
    <w:rsid w:val="0060053B"/>
    <w:rsid w:val="0060186B"/>
    <w:rsid w:val="00603BD4"/>
    <w:rsid w:val="00604D67"/>
    <w:rsid w:val="00606E23"/>
    <w:rsid w:val="00607D20"/>
    <w:rsid w:val="00611250"/>
    <w:rsid w:val="00611452"/>
    <w:rsid w:val="00611F21"/>
    <w:rsid w:val="00612932"/>
    <w:rsid w:val="00613556"/>
    <w:rsid w:val="006137DE"/>
    <w:rsid w:val="00613938"/>
    <w:rsid w:val="0061585A"/>
    <w:rsid w:val="00615E25"/>
    <w:rsid w:val="00616391"/>
    <w:rsid w:val="00620F99"/>
    <w:rsid w:val="00623381"/>
    <w:rsid w:val="0062354A"/>
    <w:rsid w:val="0062415C"/>
    <w:rsid w:val="006244AC"/>
    <w:rsid w:val="00624582"/>
    <w:rsid w:val="006253FB"/>
    <w:rsid w:val="00626057"/>
    <w:rsid w:val="00626D5C"/>
    <w:rsid w:val="00633D78"/>
    <w:rsid w:val="00634242"/>
    <w:rsid w:val="00634567"/>
    <w:rsid w:val="00635026"/>
    <w:rsid w:val="00637D32"/>
    <w:rsid w:val="006413A0"/>
    <w:rsid w:val="00642BE4"/>
    <w:rsid w:val="006432A1"/>
    <w:rsid w:val="00644CC2"/>
    <w:rsid w:val="00645C74"/>
    <w:rsid w:val="00647D8C"/>
    <w:rsid w:val="00647E14"/>
    <w:rsid w:val="006507F6"/>
    <w:rsid w:val="006517AA"/>
    <w:rsid w:val="00651B60"/>
    <w:rsid w:val="00651FAC"/>
    <w:rsid w:val="00652132"/>
    <w:rsid w:val="0065214C"/>
    <w:rsid w:val="006530ED"/>
    <w:rsid w:val="0065655B"/>
    <w:rsid w:val="00656698"/>
    <w:rsid w:val="00656D8E"/>
    <w:rsid w:val="00660214"/>
    <w:rsid w:val="00661293"/>
    <w:rsid w:val="006612AE"/>
    <w:rsid w:val="0066251F"/>
    <w:rsid w:val="006626B8"/>
    <w:rsid w:val="00663803"/>
    <w:rsid w:val="0066381B"/>
    <w:rsid w:val="0066394F"/>
    <w:rsid w:val="00664490"/>
    <w:rsid w:val="00664684"/>
    <w:rsid w:val="006647FC"/>
    <w:rsid w:val="00665D94"/>
    <w:rsid w:val="00666212"/>
    <w:rsid w:val="00670587"/>
    <w:rsid w:val="00671865"/>
    <w:rsid w:val="006719C2"/>
    <w:rsid w:val="00673AA8"/>
    <w:rsid w:val="00673BBE"/>
    <w:rsid w:val="00675527"/>
    <w:rsid w:val="00680468"/>
    <w:rsid w:val="00680CA8"/>
    <w:rsid w:val="00681053"/>
    <w:rsid w:val="00681638"/>
    <w:rsid w:val="0068289F"/>
    <w:rsid w:val="00683243"/>
    <w:rsid w:val="00683BFA"/>
    <w:rsid w:val="00686847"/>
    <w:rsid w:val="00687945"/>
    <w:rsid w:val="006908A3"/>
    <w:rsid w:val="00692F01"/>
    <w:rsid w:val="0069372C"/>
    <w:rsid w:val="00694EA8"/>
    <w:rsid w:val="00695981"/>
    <w:rsid w:val="006963BD"/>
    <w:rsid w:val="00696D78"/>
    <w:rsid w:val="00697F44"/>
    <w:rsid w:val="006A07DD"/>
    <w:rsid w:val="006A16C6"/>
    <w:rsid w:val="006A1C71"/>
    <w:rsid w:val="006A1F3E"/>
    <w:rsid w:val="006A3D1B"/>
    <w:rsid w:val="006A5C2C"/>
    <w:rsid w:val="006A67E4"/>
    <w:rsid w:val="006A68CD"/>
    <w:rsid w:val="006A76DA"/>
    <w:rsid w:val="006A7FA0"/>
    <w:rsid w:val="006B073F"/>
    <w:rsid w:val="006B3551"/>
    <w:rsid w:val="006C0EDA"/>
    <w:rsid w:val="006C1891"/>
    <w:rsid w:val="006C18F4"/>
    <w:rsid w:val="006C4CD8"/>
    <w:rsid w:val="006C678E"/>
    <w:rsid w:val="006D06CD"/>
    <w:rsid w:val="006D21A7"/>
    <w:rsid w:val="006D297A"/>
    <w:rsid w:val="006D29EA"/>
    <w:rsid w:val="006D2C98"/>
    <w:rsid w:val="006D54BE"/>
    <w:rsid w:val="006E04ED"/>
    <w:rsid w:val="006E29F3"/>
    <w:rsid w:val="006E2EED"/>
    <w:rsid w:val="006E64F8"/>
    <w:rsid w:val="006E6EDF"/>
    <w:rsid w:val="006F3C97"/>
    <w:rsid w:val="006F3DC0"/>
    <w:rsid w:val="006F3F60"/>
    <w:rsid w:val="006F4A58"/>
    <w:rsid w:val="006F51D4"/>
    <w:rsid w:val="006F5634"/>
    <w:rsid w:val="006F5F5E"/>
    <w:rsid w:val="006F63B0"/>
    <w:rsid w:val="006F6743"/>
    <w:rsid w:val="00700994"/>
    <w:rsid w:val="0070135E"/>
    <w:rsid w:val="00702AEB"/>
    <w:rsid w:val="00702C65"/>
    <w:rsid w:val="00705040"/>
    <w:rsid w:val="00710D5E"/>
    <w:rsid w:val="00710E6E"/>
    <w:rsid w:val="00712FD0"/>
    <w:rsid w:val="007138E5"/>
    <w:rsid w:val="007163A0"/>
    <w:rsid w:val="0071703C"/>
    <w:rsid w:val="00717EC0"/>
    <w:rsid w:val="00721994"/>
    <w:rsid w:val="00721C52"/>
    <w:rsid w:val="00721FEF"/>
    <w:rsid w:val="00722800"/>
    <w:rsid w:val="00725B6C"/>
    <w:rsid w:val="007261D3"/>
    <w:rsid w:val="00726CC3"/>
    <w:rsid w:val="00726CDE"/>
    <w:rsid w:val="00726FE7"/>
    <w:rsid w:val="00727595"/>
    <w:rsid w:val="0073065F"/>
    <w:rsid w:val="00731128"/>
    <w:rsid w:val="007317D1"/>
    <w:rsid w:val="00732431"/>
    <w:rsid w:val="0073294D"/>
    <w:rsid w:val="00732BBF"/>
    <w:rsid w:val="00732C37"/>
    <w:rsid w:val="00734975"/>
    <w:rsid w:val="00734A0A"/>
    <w:rsid w:val="00736142"/>
    <w:rsid w:val="00737A06"/>
    <w:rsid w:val="007404F4"/>
    <w:rsid w:val="00740EBD"/>
    <w:rsid w:val="0074270C"/>
    <w:rsid w:val="00744641"/>
    <w:rsid w:val="0074587E"/>
    <w:rsid w:val="00745C3C"/>
    <w:rsid w:val="00745DCB"/>
    <w:rsid w:val="0074640E"/>
    <w:rsid w:val="0074697F"/>
    <w:rsid w:val="0075038A"/>
    <w:rsid w:val="007555D9"/>
    <w:rsid w:val="00757026"/>
    <w:rsid w:val="00760DC1"/>
    <w:rsid w:val="007610E3"/>
    <w:rsid w:val="00761720"/>
    <w:rsid w:val="00762A89"/>
    <w:rsid w:val="00763071"/>
    <w:rsid w:val="007636E2"/>
    <w:rsid w:val="00763AEC"/>
    <w:rsid w:val="00764041"/>
    <w:rsid w:val="007640FE"/>
    <w:rsid w:val="00764816"/>
    <w:rsid w:val="007648EF"/>
    <w:rsid w:val="0076495F"/>
    <w:rsid w:val="0076559F"/>
    <w:rsid w:val="007671D6"/>
    <w:rsid w:val="007740A3"/>
    <w:rsid w:val="007744FD"/>
    <w:rsid w:val="00774B2C"/>
    <w:rsid w:val="00781CFD"/>
    <w:rsid w:val="00782E5D"/>
    <w:rsid w:val="00784282"/>
    <w:rsid w:val="007845AF"/>
    <w:rsid w:val="0078490D"/>
    <w:rsid w:val="0079008A"/>
    <w:rsid w:val="00790EAA"/>
    <w:rsid w:val="007931A1"/>
    <w:rsid w:val="00793D2D"/>
    <w:rsid w:val="00793FD5"/>
    <w:rsid w:val="00795864"/>
    <w:rsid w:val="007963D7"/>
    <w:rsid w:val="007968CB"/>
    <w:rsid w:val="00796922"/>
    <w:rsid w:val="007A0971"/>
    <w:rsid w:val="007A1095"/>
    <w:rsid w:val="007A68C7"/>
    <w:rsid w:val="007A69E8"/>
    <w:rsid w:val="007A709C"/>
    <w:rsid w:val="007A743F"/>
    <w:rsid w:val="007A74C1"/>
    <w:rsid w:val="007B46C3"/>
    <w:rsid w:val="007B4CB6"/>
    <w:rsid w:val="007B5C4A"/>
    <w:rsid w:val="007B6CC6"/>
    <w:rsid w:val="007B7A94"/>
    <w:rsid w:val="007C00E6"/>
    <w:rsid w:val="007C07E0"/>
    <w:rsid w:val="007C17A6"/>
    <w:rsid w:val="007C2EC6"/>
    <w:rsid w:val="007C38A1"/>
    <w:rsid w:val="007C6A2B"/>
    <w:rsid w:val="007C6C56"/>
    <w:rsid w:val="007C7919"/>
    <w:rsid w:val="007D04C1"/>
    <w:rsid w:val="007D18BE"/>
    <w:rsid w:val="007D1F9A"/>
    <w:rsid w:val="007D2748"/>
    <w:rsid w:val="007D27F9"/>
    <w:rsid w:val="007D5865"/>
    <w:rsid w:val="007E12E4"/>
    <w:rsid w:val="007E1FA4"/>
    <w:rsid w:val="007E2D48"/>
    <w:rsid w:val="007E3D31"/>
    <w:rsid w:val="007E4284"/>
    <w:rsid w:val="007E4304"/>
    <w:rsid w:val="007E4DF2"/>
    <w:rsid w:val="007E655D"/>
    <w:rsid w:val="007E714B"/>
    <w:rsid w:val="007E7A92"/>
    <w:rsid w:val="007F0E48"/>
    <w:rsid w:val="007F1A84"/>
    <w:rsid w:val="007F2F79"/>
    <w:rsid w:val="007F5A8E"/>
    <w:rsid w:val="007F5B8B"/>
    <w:rsid w:val="007F6F30"/>
    <w:rsid w:val="007F6FF1"/>
    <w:rsid w:val="007F7F16"/>
    <w:rsid w:val="008000DE"/>
    <w:rsid w:val="0080125B"/>
    <w:rsid w:val="0080125C"/>
    <w:rsid w:val="00802D06"/>
    <w:rsid w:val="0080328C"/>
    <w:rsid w:val="0080332D"/>
    <w:rsid w:val="008037FD"/>
    <w:rsid w:val="00805341"/>
    <w:rsid w:val="008055C9"/>
    <w:rsid w:val="00807157"/>
    <w:rsid w:val="00811D9D"/>
    <w:rsid w:val="00813404"/>
    <w:rsid w:val="00813A1E"/>
    <w:rsid w:val="008147DC"/>
    <w:rsid w:val="00815829"/>
    <w:rsid w:val="00815B90"/>
    <w:rsid w:val="00815EE9"/>
    <w:rsid w:val="00816719"/>
    <w:rsid w:val="008175F0"/>
    <w:rsid w:val="008203F4"/>
    <w:rsid w:val="00820B4D"/>
    <w:rsid w:val="008216C8"/>
    <w:rsid w:val="00822F63"/>
    <w:rsid w:val="00823E19"/>
    <w:rsid w:val="00824230"/>
    <w:rsid w:val="00825B92"/>
    <w:rsid w:val="008265D4"/>
    <w:rsid w:val="008266FB"/>
    <w:rsid w:val="008270CE"/>
    <w:rsid w:val="00830061"/>
    <w:rsid w:val="008310C3"/>
    <w:rsid w:val="0083231E"/>
    <w:rsid w:val="00833897"/>
    <w:rsid w:val="00834888"/>
    <w:rsid w:val="00834FB7"/>
    <w:rsid w:val="008357F9"/>
    <w:rsid w:val="00836382"/>
    <w:rsid w:val="00837F55"/>
    <w:rsid w:val="008413E4"/>
    <w:rsid w:val="008416B4"/>
    <w:rsid w:val="00841803"/>
    <w:rsid w:val="0084209D"/>
    <w:rsid w:val="00843E69"/>
    <w:rsid w:val="00851026"/>
    <w:rsid w:val="008546E8"/>
    <w:rsid w:val="00854A07"/>
    <w:rsid w:val="00857B36"/>
    <w:rsid w:val="0086185D"/>
    <w:rsid w:val="00861E11"/>
    <w:rsid w:val="0086405D"/>
    <w:rsid w:val="00864FB6"/>
    <w:rsid w:val="008675EE"/>
    <w:rsid w:val="00867B6F"/>
    <w:rsid w:val="00870B65"/>
    <w:rsid w:val="0087112F"/>
    <w:rsid w:val="00873920"/>
    <w:rsid w:val="00873ADA"/>
    <w:rsid w:val="00880BAC"/>
    <w:rsid w:val="008842AB"/>
    <w:rsid w:val="00886D37"/>
    <w:rsid w:val="008913C9"/>
    <w:rsid w:val="00893747"/>
    <w:rsid w:val="00894C50"/>
    <w:rsid w:val="00894E0D"/>
    <w:rsid w:val="008A0001"/>
    <w:rsid w:val="008A2136"/>
    <w:rsid w:val="008A27F2"/>
    <w:rsid w:val="008A35FD"/>
    <w:rsid w:val="008A3D6D"/>
    <w:rsid w:val="008A467D"/>
    <w:rsid w:val="008B0091"/>
    <w:rsid w:val="008B06C6"/>
    <w:rsid w:val="008B14E3"/>
    <w:rsid w:val="008B286F"/>
    <w:rsid w:val="008B28E6"/>
    <w:rsid w:val="008B4985"/>
    <w:rsid w:val="008B5D7A"/>
    <w:rsid w:val="008B7C01"/>
    <w:rsid w:val="008C001F"/>
    <w:rsid w:val="008C0727"/>
    <w:rsid w:val="008C274E"/>
    <w:rsid w:val="008C31C9"/>
    <w:rsid w:val="008C3FA6"/>
    <w:rsid w:val="008C5554"/>
    <w:rsid w:val="008C61E9"/>
    <w:rsid w:val="008C7000"/>
    <w:rsid w:val="008D0ADA"/>
    <w:rsid w:val="008D0E25"/>
    <w:rsid w:val="008D1497"/>
    <w:rsid w:val="008D234F"/>
    <w:rsid w:val="008D249E"/>
    <w:rsid w:val="008D262A"/>
    <w:rsid w:val="008D3307"/>
    <w:rsid w:val="008D5C99"/>
    <w:rsid w:val="008D7E70"/>
    <w:rsid w:val="008E13F7"/>
    <w:rsid w:val="008E1CC8"/>
    <w:rsid w:val="008E3450"/>
    <w:rsid w:val="008E5668"/>
    <w:rsid w:val="008E5D95"/>
    <w:rsid w:val="008E6788"/>
    <w:rsid w:val="008E77F7"/>
    <w:rsid w:val="008E7AE6"/>
    <w:rsid w:val="008E7B38"/>
    <w:rsid w:val="008E7E7D"/>
    <w:rsid w:val="008F1459"/>
    <w:rsid w:val="008F2A6D"/>
    <w:rsid w:val="008F2E89"/>
    <w:rsid w:val="008F4708"/>
    <w:rsid w:val="008F51D6"/>
    <w:rsid w:val="008F67ED"/>
    <w:rsid w:val="008F7332"/>
    <w:rsid w:val="00900309"/>
    <w:rsid w:val="0090154B"/>
    <w:rsid w:val="00901780"/>
    <w:rsid w:val="00903793"/>
    <w:rsid w:val="00904AA0"/>
    <w:rsid w:val="009053B6"/>
    <w:rsid w:val="0090594C"/>
    <w:rsid w:val="00911DEC"/>
    <w:rsid w:val="00912069"/>
    <w:rsid w:val="00912312"/>
    <w:rsid w:val="00917424"/>
    <w:rsid w:val="00920231"/>
    <w:rsid w:val="00921696"/>
    <w:rsid w:val="009228AC"/>
    <w:rsid w:val="0092529C"/>
    <w:rsid w:val="00925F31"/>
    <w:rsid w:val="0092628D"/>
    <w:rsid w:val="00926755"/>
    <w:rsid w:val="00940568"/>
    <w:rsid w:val="00941A5B"/>
    <w:rsid w:val="009448DC"/>
    <w:rsid w:val="0094493C"/>
    <w:rsid w:val="00946CEA"/>
    <w:rsid w:val="00947FB5"/>
    <w:rsid w:val="00954170"/>
    <w:rsid w:val="00954589"/>
    <w:rsid w:val="00954858"/>
    <w:rsid w:val="00954D31"/>
    <w:rsid w:val="00955482"/>
    <w:rsid w:val="00955D01"/>
    <w:rsid w:val="00956A06"/>
    <w:rsid w:val="00960797"/>
    <w:rsid w:val="00960870"/>
    <w:rsid w:val="00960E80"/>
    <w:rsid w:val="00963317"/>
    <w:rsid w:val="009645CE"/>
    <w:rsid w:val="00965C99"/>
    <w:rsid w:val="009700AB"/>
    <w:rsid w:val="009718E6"/>
    <w:rsid w:val="00974788"/>
    <w:rsid w:val="00975BFF"/>
    <w:rsid w:val="00975D81"/>
    <w:rsid w:val="009764EB"/>
    <w:rsid w:val="009774BA"/>
    <w:rsid w:val="00980163"/>
    <w:rsid w:val="009809D3"/>
    <w:rsid w:val="009819A4"/>
    <w:rsid w:val="00981B6B"/>
    <w:rsid w:val="0098401E"/>
    <w:rsid w:val="009840C0"/>
    <w:rsid w:val="009852B0"/>
    <w:rsid w:val="00985470"/>
    <w:rsid w:val="009925B7"/>
    <w:rsid w:val="00994F59"/>
    <w:rsid w:val="00995816"/>
    <w:rsid w:val="00995F46"/>
    <w:rsid w:val="00996993"/>
    <w:rsid w:val="00996DE0"/>
    <w:rsid w:val="009A18BA"/>
    <w:rsid w:val="009A1DCA"/>
    <w:rsid w:val="009A2D72"/>
    <w:rsid w:val="009A7C9B"/>
    <w:rsid w:val="009B0660"/>
    <w:rsid w:val="009B132A"/>
    <w:rsid w:val="009B206B"/>
    <w:rsid w:val="009B4128"/>
    <w:rsid w:val="009B4333"/>
    <w:rsid w:val="009B459E"/>
    <w:rsid w:val="009B4A12"/>
    <w:rsid w:val="009C04E4"/>
    <w:rsid w:val="009C0CC5"/>
    <w:rsid w:val="009C25D7"/>
    <w:rsid w:val="009C51D0"/>
    <w:rsid w:val="009C65A6"/>
    <w:rsid w:val="009C6B4D"/>
    <w:rsid w:val="009C6B60"/>
    <w:rsid w:val="009C6FE6"/>
    <w:rsid w:val="009D035E"/>
    <w:rsid w:val="009D130A"/>
    <w:rsid w:val="009D1D42"/>
    <w:rsid w:val="009D3508"/>
    <w:rsid w:val="009D36EB"/>
    <w:rsid w:val="009D42B0"/>
    <w:rsid w:val="009D5332"/>
    <w:rsid w:val="009D5E51"/>
    <w:rsid w:val="009E1188"/>
    <w:rsid w:val="009E2326"/>
    <w:rsid w:val="009E279F"/>
    <w:rsid w:val="009E445D"/>
    <w:rsid w:val="009E7A0A"/>
    <w:rsid w:val="009F018D"/>
    <w:rsid w:val="009F0BBE"/>
    <w:rsid w:val="009F0C42"/>
    <w:rsid w:val="009F0DB7"/>
    <w:rsid w:val="009F5482"/>
    <w:rsid w:val="009F599D"/>
    <w:rsid w:val="009F7109"/>
    <w:rsid w:val="009F7C7A"/>
    <w:rsid w:val="009F7FCE"/>
    <w:rsid w:val="00A00612"/>
    <w:rsid w:val="00A0164C"/>
    <w:rsid w:val="00A01B79"/>
    <w:rsid w:val="00A055D6"/>
    <w:rsid w:val="00A10972"/>
    <w:rsid w:val="00A1143F"/>
    <w:rsid w:val="00A11AB3"/>
    <w:rsid w:val="00A129AA"/>
    <w:rsid w:val="00A1408B"/>
    <w:rsid w:val="00A147EA"/>
    <w:rsid w:val="00A15464"/>
    <w:rsid w:val="00A163EE"/>
    <w:rsid w:val="00A1684E"/>
    <w:rsid w:val="00A208D6"/>
    <w:rsid w:val="00A216B0"/>
    <w:rsid w:val="00A2191A"/>
    <w:rsid w:val="00A22BF0"/>
    <w:rsid w:val="00A22CD6"/>
    <w:rsid w:val="00A23371"/>
    <w:rsid w:val="00A24A95"/>
    <w:rsid w:val="00A24BF6"/>
    <w:rsid w:val="00A25795"/>
    <w:rsid w:val="00A30662"/>
    <w:rsid w:val="00A315F7"/>
    <w:rsid w:val="00A31B6F"/>
    <w:rsid w:val="00A31CAC"/>
    <w:rsid w:val="00A33502"/>
    <w:rsid w:val="00A343DB"/>
    <w:rsid w:val="00A3486A"/>
    <w:rsid w:val="00A34E9C"/>
    <w:rsid w:val="00A36898"/>
    <w:rsid w:val="00A420FB"/>
    <w:rsid w:val="00A4444A"/>
    <w:rsid w:val="00A44F4B"/>
    <w:rsid w:val="00A50214"/>
    <w:rsid w:val="00A50E91"/>
    <w:rsid w:val="00A5160B"/>
    <w:rsid w:val="00A523EF"/>
    <w:rsid w:val="00A53A0F"/>
    <w:rsid w:val="00A54D60"/>
    <w:rsid w:val="00A54D7E"/>
    <w:rsid w:val="00A576EF"/>
    <w:rsid w:val="00A6101E"/>
    <w:rsid w:val="00A610D5"/>
    <w:rsid w:val="00A6144E"/>
    <w:rsid w:val="00A61D20"/>
    <w:rsid w:val="00A65088"/>
    <w:rsid w:val="00A66200"/>
    <w:rsid w:val="00A72211"/>
    <w:rsid w:val="00A75299"/>
    <w:rsid w:val="00A753E5"/>
    <w:rsid w:val="00A75758"/>
    <w:rsid w:val="00A76F09"/>
    <w:rsid w:val="00A77637"/>
    <w:rsid w:val="00A8000F"/>
    <w:rsid w:val="00A80FED"/>
    <w:rsid w:val="00A81B14"/>
    <w:rsid w:val="00A81E70"/>
    <w:rsid w:val="00A84D15"/>
    <w:rsid w:val="00A85322"/>
    <w:rsid w:val="00A85E23"/>
    <w:rsid w:val="00A87A55"/>
    <w:rsid w:val="00A87A98"/>
    <w:rsid w:val="00A922FF"/>
    <w:rsid w:val="00A926AC"/>
    <w:rsid w:val="00A926C5"/>
    <w:rsid w:val="00A92A28"/>
    <w:rsid w:val="00A94E9F"/>
    <w:rsid w:val="00A94FC9"/>
    <w:rsid w:val="00A9644C"/>
    <w:rsid w:val="00A96FD0"/>
    <w:rsid w:val="00AA17A0"/>
    <w:rsid w:val="00AA1F90"/>
    <w:rsid w:val="00AA21A7"/>
    <w:rsid w:val="00AA4582"/>
    <w:rsid w:val="00AA4CDB"/>
    <w:rsid w:val="00AA65F1"/>
    <w:rsid w:val="00AA6F20"/>
    <w:rsid w:val="00AB149A"/>
    <w:rsid w:val="00AB18FE"/>
    <w:rsid w:val="00AB1C01"/>
    <w:rsid w:val="00AB58AE"/>
    <w:rsid w:val="00AB5982"/>
    <w:rsid w:val="00AB733E"/>
    <w:rsid w:val="00AC0413"/>
    <w:rsid w:val="00AC08BF"/>
    <w:rsid w:val="00AC1949"/>
    <w:rsid w:val="00AC2CCC"/>
    <w:rsid w:val="00AC350C"/>
    <w:rsid w:val="00AC4A49"/>
    <w:rsid w:val="00AC7546"/>
    <w:rsid w:val="00AC78BB"/>
    <w:rsid w:val="00AD02E0"/>
    <w:rsid w:val="00AD2545"/>
    <w:rsid w:val="00AD2C09"/>
    <w:rsid w:val="00AD33C4"/>
    <w:rsid w:val="00AD38EF"/>
    <w:rsid w:val="00AD407E"/>
    <w:rsid w:val="00AD4A92"/>
    <w:rsid w:val="00AD4E6E"/>
    <w:rsid w:val="00AD5B56"/>
    <w:rsid w:val="00AD6074"/>
    <w:rsid w:val="00AD7512"/>
    <w:rsid w:val="00AE016F"/>
    <w:rsid w:val="00AE07B5"/>
    <w:rsid w:val="00AE3DF2"/>
    <w:rsid w:val="00AE4AC3"/>
    <w:rsid w:val="00AE4C2A"/>
    <w:rsid w:val="00AE6E3C"/>
    <w:rsid w:val="00AE7BAD"/>
    <w:rsid w:val="00AF0B18"/>
    <w:rsid w:val="00AF1094"/>
    <w:rsid w:val="00AF2288"/>
    <w:rsid w:val="00AF482D"/>
    <w:rsid w:val="00AF612B"/>
    <w:rsid w:val="00AF66D1"/>
    <w:rsid w:val="00AF7D10"/>
    <w:rsid w:val="00AF7F5C"/>
    <w:rsid w:val="00B000FC"/>
    <w:rsid w:val="00B00375"/>
    <w:rsid w:val="00B006E9"/>
    <w:rsid w:val="00B03471"/>
    <w:rsid w:val="00B042B8"/>
    <w:rsid w:val="00B0458B"/>
    <w:rsid w:val="00B05F2A"/>
    <w:rsid w:val="00B078DF"/>
    <w:rsid w:val="00B07E69"/>
    <w:rsid w:val="00B10505"/>
    <w:rsid w:val="00B11F9A"/>
    <w:rsid w:val="00B12EBF"/>
    <w:rsid w:val="00B13CD3"/>
    <w:rsid w:val="00B17AA6"/>
    <w:rsid w:val="00B22AED"/>
    <w:rsid w:val="00B2429F"/>
    <w:rsid w:val="00B2521F"/>
    <w:rsid w:val="00B366E5"/>
    <w:rsid w:val="00B37A03"/>
    <w:rsid w:val="00B37C5A"/>
    <w:rsid w:val="00B405CB"/>
    <w:rsid w:val="00B413E5"/>
    <w:rsid w:val="00B426B8"/>
    <w:rsid w:val="00B43EC7"/>
    <w:rsid w:val="00B51A13"/>
    <w:rsid w:val="00B52A7E"/>
    <w:rsid w:val="00B536FF"/>
    <w:rsid w:val="00B541FC"/>
    <w:rsid w:val="00B564AE"/>
    <w:rsid w:val="00B56C18"/>
    <w:rsid w:val="00B57972"/>
    <w:rsid w:val="00B57C45"/>
    <w:rsid w:val="00B60CB7"/>
    <w:rsid w:val="00B61AE2"/>
    <w:rsid w:val="00B62DF9"/>
    <w:rsid w:val="00B63689"/>
    <w:rsid w:val="00B643AE"/>
    <w:rsid w:val="00B66C63"/>
    <w:rsid w:val="00B67934"/>
    <w:rsid w:val="00B7018A"/>
    <w:rsid w:val="00B70387"/>
    <w:rsid w:val="00B70F35"/>
    <w:rsid w:val="00B71154"/>
    <w:rsid w:val="00B72C89"/>
    <w:rsid w:val="00B73A78"/>
    <w:rsid w:val="00B73E4A"/>
    <w:rsid w:val="00B75943"/>
    <w:rsid w:val="00B75A96"/>
    <w:rsid w:val="00B76268"/>
    <w:rsid w:val="00B7712A"/>
    <w:rsid w:val="00B776A7"/>
    <w:rsid w:val="00B77FE8"/>
    <w:rsid w:val="00B8310C"/>
    <w:rsid w:val="00B83673"/>
    <w:rsid w:val="00B83F51"/>
    <w:rsid w:val="00B85FEC"/>
    <w:rsid w:val="00B87536"/>
    <w:rsid w:val="00B9058F"/>
    <w:rsid w:val="00B90A76"/>
    <w:rsid w:val="00B90D4E"/>
    <w:rsid w:val="00B92990"/>
    <w:rsid w:val="00B9333A"/>
    <w:rsid w:val="00B93D80"/>
    <w:rsid w:val="00B941D6"/>
    <w:rsid w:val="00B94A45"/>
    <w:rsid w:val="00B95AF6"/>
    <w:rsid w:val="00B97B02"/>
    <w:rsid w:val="00BA020B"/>
    <w:rsid w:val="00BA1115"/>
    <w:rsid w:val="00BA268E"/>
    <w:rsid w:val="00BA2B40"/>
    <w:rsid w:val="00BA2E84"/>
    <w:rsid w:val="00BA2ED7"/>
    <w:rsid w:val="00BA410C"/>
    <w:rsid w:val="00BA4901"/>
    <w:rsid w:val="00BA5AE9"/>
    <w:rsid w:val="00BA7069"/>
    <w:rsid w:val="00BA76C8"/>
    <w:rsid w:val="00BB0FAF"/>
    <w:rsid w:val="00BB12E3"/>
    <w:rsid w:val="00BB2355"/>
    <w:rsid w:val="00BB25BC"/>
    <w:rsid w:val="00BB34B0"/>
    <w:rsid w:val="00BB54F8"/>
    <w:rsid w:val="00BB5C55"/>
    <w:rsid w:val="00BC011B"/>
    <w:rsid w:val="00BC02B2"/>
    <w:rsid w:val="00BC0EBD"/>
    <w:rsid w:val="00BC192B"/>
    <w:rsid w:val="00BC2B98"/>
    <w:rsid w:val="00BC471E"/>
    <w:rsid w:val="00BD137E"/>
    <w:rsid w:val="00BD22CD"/>
    <w:rsid w:val="00BD2938"/>
    <w:rsid w:val="00BD61DB"/>
    <w:rsid w:val="00BE1F20"/>
    <w:rsid w:val="00BE316A"/>
    <w:rsid w:val="00BE35F6"/>
    <w:rsid w:val="00BE4582"/>
    <w:rsid w:val="00BE66A6"/>
    <w:rsid w:val="00BF123D"/>
    <w:rsid w:val="00BF144D"/>
    <w:rsid w:val="00BF185E"/>
    <w:rsid w:val="00BF1CDB"/>
    <w:rsid w:val="00BF4381"/>
    <w:rsid w:val="00BF4516"/>
    <w:rsid w:val="00BF6853"/>
    <w:rsid w:val="00C003D2"/>
    <w:rsid w:val="00C0196A"/>
    <w:rsid w:val="00C01D33"/>
    <w:rsid w:val="00C021AE"/>
    <w:rsid w:val="00C039D0"/>
    <w:rsid w:val="00C049BB"/>
    <w:rsid w:val="00C04DE3"/>
    <w:rsid w:val="00C05417"/>
    <w:rsid w:val="00C07121"/>
    <w:rsid w:val="00C10E46"/>
    <w:rsid w:val="00C10F3D"/>
    <w:rsid w:val="00C12D27"/>
    <w:rsid w:val="00C13BA6"/>
    <w:rsid w:val="00C15186"/>
    <w:rsid w:val="00C168B2"/>
    <w:rsid w:val="00C175C6"/>
    <w:rsid w:val="00C20B64"/>
    <w:rsid w:val="00C21CCF"/>
    <w:rsid w:val="00C22021"/>
    <w:rsid w:val="00C2277C"/>
    <w:rsid w:val="00C23894"/>
    <w:rsid w:val="00C23C8F"/>
    <w:rsid w:val="00C2435F"/>
    <w:rsid w:val="00C24929"/>
    <w:rsid w:val="00C251C0"/>
    <w:rsid w:val="00C27D4D"/>
    <w:rsid w:val="00C308AE"/>
    <w:rsid w:val="00C32A25"/>
    <w:rsid w:val="00C33094"/>
    <w:rsid w:val="00C332AD"/>
    <w:rsid w:val="00C33726"/>
    <w:rsid w:val="00C33819"/>
    <w:rsid w:val="00C34326"/>
    <w:rsid w:val="00C348F5"/>
    <w:rsid w:val="00C34E5E"/>
    <w:rsid w:val="00C36E98"/>
    <w:rsid w:val="00C36EED"/>
    <w:rsid w:val="00C42191"/>
    <w:rsid w:val="00C4353B"/>
    <w:rsid w:val="00C446F5"/>
    <w:rsid w:val="00C46623"/>
    <w:rsid w:val="00C500F0"/>
    <w:rsid w:val="00C50548"/>
    <w:rsid w:val="00C51E3C"/>
    <w:rsid w:val="00C53A13"/>
    <w:rsid w:val="00C55E7F"/>
    <w:rsid w:val="00C5600D"/>
    <w:rsid w:val="00C57E59"/>
    <w:rsid w:val="00C60419"/>
    <w:rsid w:val="00C60C8D"/>
    <w:rsid w:val="00C61195"/>
    <w:rsid w:val="00C622D6"/>
    <w:rsid w:val="00C62349"/>
    <w:rsid w:val="00C62D1A"/>
    <w:rsid w:val="00C6468B"/>
    <w:rsid w:val="00C649EC"/>
    <w:rsid w:val="00C64B0F"/>
    <w:rsid w:val="00C6526A"/>
    <w:rsid w:val="00C65D44"/>
    <w:rsid w:val="00C67482"/>
    <w:rsid w:val="00C6770A"/>
    <w:rsid w:val="00C70049"/>
    <w:rsid w:val="00C7140A"/>
    <w:rsid w:val="00C72768"/>
    <w:rsid w:val="00C72A87"/>
    <w:rsid w:val="00C72C3F"/>
    <w:rsid w:val="00C731F4"/>
    <w:rsid w:val="00C75ACD"/>
    <w:rsid w:val="00C77A0E"/>
    <w:rsid w:val="00C818B7"/>
    <w:rsid w:val="00C81971"/>
    <w:rsid w:val="00C81D6A"/>
    <w:rsid w:val="00C8324C"/>
    <w:rsid w:val="00C84005"/>
    <w:rsid w:val="00C85577"/>
    <w:rsid w:val="00C85C22"/>
    <w:rsid w:val="00C8640C"/>
    <w:rsid w:val="00C869F0"/>
    <w:rsid w:val="00C86FCC"/>
    <w:rsid w:val="00C90138"/>
    <w:rsid w:val="00C90C41"/>
    <w:rsid w:val="00C90D02"/>
    <w:rsid w:val="00C90F8C"/>
    <w:rsid w:val="00C912FE"/>
    <w:rsid w:val="00C924EF"/>
    <w:rsid w:val="00C92964"/>
    <w:rsid w:val="00C93062"/>
    <w:rsid w:val="00C940D0"/>
    <w:rsid w:val="00C94764"/>
    <w:rsid w:val="00C95010"/>
    <w:rsid w:val="00C9595A"/>
    <w:rsid w:val="00C95DA4"/>
    <w:rsid w:val="00C9634C"/>
    <w:rsid w:val="00C9642E"/>
    <w:rsid w:val="00C97180"/>
    <w:rsid w:val="00CA29F6"/>
    <w:rsid w:val="00CA2FB7"/>
    <w:rsid w:val="00CA3401"/>
    <w:rsid w:val="00CA48B1"/>
    <w:rsid w:val="00CB1198"/>
    <w:rsid w:val="00CB2E36"/>
    <w:rsid w:val="00CB3155"/>
    <w:rsid w:val="00CB548E"/>
    <w:rsid w:val="00CB7E7D"/>
    <w:rsid w:val="00CC10B2"/>
    <w:rsid w:val="00CC12ED"/>
    <w:rsid w:val="00CC18E1"/>
    <w:rsid w:val="00CC2FB4"/>
    <w:rsid w:val="00CC549F"/>
    <w:rsid w:val="00CC5FFD"/>
    <w:rsid w:val="00CC795D"/>
    <w:rsid w:val="00CD0D9D"/>
    <w:rsid w:val="00CD30AB"/>
    <w:rsid w:val="00CD3228"/>
    <w:rsid w:val="00CD46DE"/>
    <w:rsid w:val="00CD502A"/>
    <w:rsid w:val="00CD5227"/>
    <w:rsid w:val="00CD61F9"/>
    <w:rsid w:val="00CD6A42"/>
    <w:rsid w:val="00CD7BC5"/>
    <w:rsid w:val="00CE1617"/>
    <w:rsid w:val="00CE585D"/>
    <w:rsid w:val="00CE6422"/>
    <w:rsid w:val="00CF1A2E"/>
    <w:rsid w:val="00CF4743"/>
    <w:rsid w:val="00CF506D"/>
    <w:rsid w:val="00CF783D"/>
    <w:rsid w:val="00D0032D"/>
    <w:rsid w:val="00D00821"/>
    <w:rsid w:val="00D00A0E"/>
    <w:rsid w:val="00D01149"/>
    <w:rsid w:val="00D01DF7"/>
    <w:rsid w:val="00D02037"/>
    <w:rsid w:val="00D03286"/>
    <w:rsid w:val="00D04DDE"/>
    <w:rsid w:val="00D054BA"/>
    <w:rsid w:val="00D05E0C"/>
    <w:rsid w:val="00D110E1"/>
    <w:rsid w:val="00D11AA1"/>
    <w:rsid w:val="00D135E5"/>
    <w:rsid w:val="00D165DB"/>
    <w:rsid w:val="00D165F5"/>
    <w:rsid w:val="00D17CF0"/>
    <w:rsid w:val="00D218FA"/>
    <w:rsid w:val="00D22135"/>
    <w:rsid w:val="00D23003"/>
    <w:rsid w:val="00D23655"/>
    <w:rsid w:val="00D24CE5"/>
    <w:rsid w:val="00D2530D"/>
    <w:rsid w:val="00D27FFB"/>
    <w:rsid w:val="00D30A11"/>
    <w:rsid w:val="00D31507"/>
    <w:rsid w:val="00D32477"/>
    <w:rsid w:val="00D342F1"/>
    <w:rsid w:val="00D36205"/>
    <w:rsid w:val="00D36308"/>
    <w:rsid w:val="00D36B74"/>
    <w:rsid w:val="00D37683"/>
    <w:rsid w:val="00D37811"/>
    <w:rsid w:val="00D43106"/>
    <w:rsid w:val="00D436B7"/>
    <w:rsid w:val="00D43BBC"/>
    <w:rsid w:val="00D4528E"/>
    <w:rsid w:val="00D457C1"/>
    <w:rsid w:val="00D472DD"/>
    <w:rsid w:val="00D47618"/>
    <w:rsid w:val="00D478C9"/>
    <w:rsid w:val="00D5000F"/>
    <w:rsid w:val="00D51310"/>
    <w:rsid w:val="00D528FF"/>
    <w:rsid w:val="00D52D57"/>
    <w:rsid w:val="00D536A5"/>
    <w:rsid w:val="00D53FED"/>
    <w:rsid w:val="00D546EE"/>
    <w:rsid w:val="00D564AA"/>
    <w:rsid w:val="00D577CC"/>
    <w:rsid w:val="00D607F4"/>
    <w:rsid w:val="00D62727"/>
    <w:rsid w:val="00D62BB8"/>
    <w:rsid w:val="00D631E7"/>
    <w:rsid w:val="00D63972"/>
    <w:rsid w:val="00D63C6E"/>
    <w:rsid w:val="00D6465A"/>
    <w:rsid w:val="00D64881"/>
    <w:rsid w:val="00D65248"/>
    <w:rsid w:val="00D653A4"/>
    <w:rsid w:val="00D66765"/>
    <w:rsid w:val="00D669A2"/>
    <w:rsid w:val="00D66A1A"/>
    <w:rsid w:val="00D67BE8"/>
    <w:rsid w:val="00D71A73"/>
    <w:rsid w:val="00D73909"/>
    <w:rsid w:val="00D739FF"/>
    <w:rsid w:val="00D743D0"/>
    <w:rsid w:val="00D752EF"/>
    <w:rsid w:val="00D764C3"/>
    <w:rsid w:val="00D7734B"/>
    <w:rsid w:val="00D81C61"/>
    <w:rsid w:val="00D82057"/>
    <w:rsid w:val="00D82436"/>
    <w:rsid w:val="00D82BE1"/>
    <w:rsid w:val="00D82C59"/>
    <w:rsid w:val="00D8315A"/>
    <w:rsid w:val="00D83F21"/>
    <w:rsid w:val="00D85C50"/>
    <w:rsid w:val="00D924C4"/>
    <w:rsid w:val="00D92829"/>
    <w:rsid w:val="00D929B0"/>
    <w:rsid w:val="00D92C31"/>
    <w:rsid w:val="00D964E1"/>
    <w:rsid w:val="00D96F08"/>
    <w:rsid w:val="00DA0ABB"/>
    <w:rsid w:val="00DA1494"/>
    <w:rsid w:val="00DA5016"/>
    <w:rsid w:val="00DA50D9"/>
    <w:rsid w:val="00DA54B2"/>
    <w:rsid w:val="00DA69BE"/>
    <w:rsid w:val="00DB0325"/>
    <w:rsid w:val="00DB25EE"/>
    <w:rsid w:val="00DB4C37"/>
    <w:rsid w:val="00DB5562"/>
    <w:rsid w:val="00DB5C15"/>
    <w:rsid w:val="00DB5EB0"/>
    <w:rsid w:val="00DB6676"/>
    <w:rsid w:val="00DB6E6F"/>
    <w:rsid w:val="00DB6EBC"/>
    <w:rsid w:val="00DC1D41"/>
    <w:rsid w:val="00DC25A2"/>
    <w:rsid w:val="00DC3D84"/>
    <w:rsid w:val="00DC45A9"/>
    <w:rsid w:val="00DC5598"/>
    <w:rsid w:val="00DC65EC"/>
    <w:rsid w:val="00DC787A"/>
    <w:rsid w:val="00DD0A64"/>
    <w:rsid w:val="00DD2EC6"/>
    <w:rsid w:val="00DD30B0"/>
    <w:rsid w:val="00DD33E0"/>
    <w:rsid w:val="00DD5230"/>
    <w:rsid w:val="00DD5F03"/>
    <w:rsid w:val="00DD6AAC"/>
    <w:rsid w:val="00DD7B78"/>
    <w:rsid w:val="00DE10AC"/>
    <w:rsid w:val="00DE2FFD"/>
    <w:rsid w:val="00DE32BD"/>
    <w:rsid w:val="00DE3406"/>
    <w:rsid w:val="00DE3F9C"/>
    <w:rsid w:val="00DE4065"/>
    <w:rsid w:val="00DE4992"/>
    <w:rsid w:val="00DE4CEB"/>
    <w:rsid w:val="00DE607F"/>
    <w:rsid w:val="00DE705E"/>
    <w:rsid w:val="00DF233C"/>
    <w:rsid w:val="00DF25F5"/>
    <w:rsid w:val="00DF3114"/>
    <w:rsid w:val="00DF3194"/>
    <w:rsid w:val="00DF4A20"/>
    <w:rsid w:val="00DF5734"/>
    <w:rsid w:val="00DF5B57"/>
    <w:rsid w:val="00DF6CD4"/>
    <w:rsid w:val="00DF7154"/>
    <w:rsid w:val="00E0079A"/>
    <w:rsid w:val="00E04C32"/>
    <w:rsid w:val="00E05A78"/>
    <w:rsid w:val="00E05D41"/>
    <w:rsid w:val="00E0663A"/>
    <w:rsid w:val="00E06721"/>
    <w:rsid w:val="00E0741A"/>
    <w:rsid w:val="00E10321"/>
    <w:rsid w:val="00E105AD"/>
    <w:rsid w:val="00E108AD"/>
    <w:rsid w:val="00E127D5"/>
    <w:rsid w:val="00E14324"/>
    <w:rsid w:val="00E15A43"/>
    <w:rsid w:val="00E20FDD"/>
    <w:rsid w:val="00E210B6"/>
    <w:rsid w:val="00E21E6E"/>
    <w:rsid w:val="00E24D94"/>
    <w:rsid w:val="00E24FF5"/>
    <w:rsid w:val="00E26736"/>
    <w:rsid w:val="00E268C7"/>
    <w:rsid w:val="00E27047"/>
    <w:rsid w:val="00E3159F"/>
    <w:rsid w:val="00E3207E"/>
    <w:rsid w:val="00E3278A"/>
    <w:rsid w:val="00E32B6B"/>
    <w:rsid w:val="00E33F2A"/>
    <w:rsid w:val="00E34E4F"/>
    <w:rsid w:val="00E350FA"/>
    <w:rsid w:val="00E3521B"/>
    <w:rsid w:val="00E3664A"/>
    <w:rsid w:val="00E3720A"/>
    <w:rsid w:val="00E37478"/>
    <w:rsid w:val="00E37840"/>
    <w:rsid w:val="00E40954"/>
    <w:rsid w:val="00E40B3A"/>
    <w:rsid w:val="00E40C9F"/>
    <w:rsid w:val="00E422D1"/>
    <w:rsid w:val="00E42A61"/>
    <w:rsid w:val="00E42C9E"/>
    <w:rsid w:val="00E42F0A"/>
    <w:rsid w:val="00E43D4A"/>
    <w:rsid w:val="00E44AEC"/>
    <w:rsid w:val="00E47C05"/>
    <w:rsid w:val="00E50535"/>
    <w:rsid w:val="00E50BE8"/>
    <w:rsid w:val="00E50C3E"/>
    <w:rsid w:val="00E515F6"/>
    <w:rsid w:val="00E52540"/>
    <w:rsid w:val="00E539C9"/>
    <w:rsid w:val="00E54C47"/>
    <w:rsid w:val="00E55CCD"/>
    <w:rsid w:val="00E55E58"/>
    <w:rsid w:val="00E561D5"/>
    <w:rsid w:val="00E56308"/>
    <w:rsid w:val="00E56A81"/>
    <w:rsid w:val="00E57685"/>
    <w:rsid w:val="00E57F1A"/>
    <w:rsid w:val="00E61FAA"/>
    <w:rsid w:val="00E62007"/>
    <w:rsid w:val="00E621A7"/>
    <w:rsid w:val="00E62454"/>
    <w:rsid w:val="00E65859"/>
    <w:rsid w:val="00E662BF"/>
    <w:rsid w:val="00E66CBA"/>
    <w:rsid w:val="00E67B1D"/>
    <w:rsid w:val="00E73261"/>
    <w:rsid w:val="00E73FDF"/>
    <w:rsid w:val="00E75130"/>
    <w:rsid w:val="00E80C23"/>
    <w:rsid w:val="00E81CB8"/>
    <w:rsid w:val="00E825F7"/>
    <w:rsid w:val="00E833F6"/>
    <w:rsid w:val="00E83590"/>
    <w:rsid w:val="00E840B6"/>
    <w:rsid w:val="00E8606C"/>
    <w:rsid w:val="00E860D2"/>
    <w:rsid w:val="00E878CB"/>
    <w:rsid w:val="00E90E09"/>
    <w:rsid w:val="00E91C82"/>
    <w:rsid w:val="00E92138"/>
    <w:rsid w:val="00E92D52"/>
    <w:rsid w:val="00E92E12"/>
    <w:rsid w:val="00E93759"/>
    <w:rsid w:val="00E94D22"/>
    <w:rsid w:val="00E962E4"/>
    <w:rsid w:val="00E96CE5"/>
    <w:rsid w:val="00EA0C50"/>
    <w:rsid w:val="00EA1B1D"/>
    <w:rsid w:val="00EA2138"/>
    <w:rsid w:val="00EA23DA"/>
    <w:rsid w:val="00EA2917"/>
    <w:rsid w:val="00EA2C61"/>
    <w:rsid w:val="00EA3607"/>
    <w:rsid w:val="00EA3F2A"/>
    <w:rsid w:val="00EA420C"/>
    <w:rsid w:val="00EA44A8"/>
    <w:rsid w:val="00EA47EA"/>
    <w:rsid w:val="00EB034B"/>
    <w:rsid w:val="00EB346F"/>
    <w:rsid w:val="00EB4A81"/>
    <w:rsid w:val="00EB6B45"/>
    <w:rsid w:val="00EB76F7"/>
    <w:rsid w:val="00EC214F"/>
    <w:rsid w:val="00EC3655"/>
    <w:rsid w:val="00EC40EA"/>
    <w:rsid w:val="00EC4232"/>
    <w:rsid w:val="00EC4A78"/>
    <w:rsid w:val="00EC4F75"/>
    <w:rsid w:val="00EC7885"/>
    <w:rsid w:val="00EC7E44"/>
    <w:rsid w:val="00ED1717"/>
    <w:rsid w:val="00ED184F"/>
    <w:rsid w:val="00ED1CA8"/>
    <w:rsid w:val="00ED312F"/>
    <w:rsid w:val="00ED4251"/>
    <w:rsid w:val="00ED47D8"/>
    <w:rsid w:val="00EE000F"/>
    <w:rsid w:val="00EE08F0"/>
    <w:rsid w:val="00EE0E41"/>
    <w:rsid w:val="00EE1EAC"/>
    <w:rsid w:val="00EE3881"/>
    <w:rsid w:val="00EE49D2"/>
    <w:rsid w:val="00EE66E5"/>
    <w:rsid w:val="00EE7DAD"/>
    <w:rsid w:val="00EF0035"/>
    <w:rsid w:val="00EF022E"/>
    <w:rsid w:val="00EF196D"/>
    <w:rsid w:val="00EF2250"/>
    <w:rsid w:val="00EF234F"/>
    <w:rsid w:val="00EF3996"/>
    <w:rsid w:val="00EF47F6"/>
    <w:rsid w:val="00EF55BE"/>
    <w:rsid w:val="00F00E6A"/>
    <w:rsid w:val="00F013B8"/>
    <w:rsid w:val="00F024A0"/>
    <w:rsid w:val="00F0329B"/>
    <w:rsid w:val="00F034D2"/>
    <w:rsid w:val="00F03BFC"/>
    <w:rsid w:val="00F04DBA"/>
    <w:rsid w:val="00F05330"/>
    <w:rsid w:val="00F05675"/>
    <w:rsid w:val="00F058F8"/>
    <w:rsid w:val="00F06E7C"/>
    <w:rsid w:val="00F06F80"/>
    <w:rsid w:val="00F121B5"/>
    <w:rsid w:val="00F126B0"/>
    <w:rsid w:val="00F13B34"/>
    <w:rsid w:val="00F13F6D"/>
    <w:rsid w:val="00F14D4C"/>
    <w:rsid w:val="00F14FAA"/>
    <w:rsid w:val="00F17598"/>
    <w:rsid w:val="00F178F4"/>
    <w:rsid w:val="00F17CF4"/>
    <w:rsid w:val="00F204B8"/>
    <w:rsid w:val="00F2066A"/>
    <w:rsid w:val="00F20E02"/>
    <w:rsid w:val="00F21351"/>
    <w:rsid w:val="00F2584D"/>
    <w:rsid w:val="00F3080B"/>
    <w:rsid w:val="00F31461"/>
    <w:rsid w:val="00F31A38"/>
    <w:rsid w:val="00F31E9B"/>
    <w:rsid w:val="00F33F7C"/>
    <w:rsid w:val="00F346C4"/>
    <w:rsid w:val="00F363DA"/>
    <w:rsid w:val="00F36685"/>
    <w:rsid w:val="00F40868"/>
    <w:rsid w:val="00F4338D"/>
    <w:rsid w:val="00F44088"/>
    <w:rsid w:val="00F44239"/>
    <w:rsid w:val="00F44AB9"/>
    <w:rsid w:val="00F4678F"/>
    <w:rsid w:val="00F50A91"/>
    <w:rsid w:val="00F52C4A"/>
    <w:rsid w:val="00F53D4E"/>
    <w:rsid w:val="00F54498"/>
    <w:rsid w:val="00F55B9A"/>
    <w:rsid w:val="00F61022"/>
    <w:rsid w:val="00F6122F"/>
    <w:rsid w:val="00F6563B"/>
    <w:rsid w:val="00F70001"/>
    <w:rsid w:val="00F70F52"/>
    <w:rsid w:val="00F72E0F"/>
    <w:rsid w:val="00F744E8"/>
    <w:rsid w:val="00F757ED"/>
    <w:rsid w:val="00F771F0"/>
    <w:rsid w:val="00F77852"/>
    <w:rsid w:val="00F80D59"/>
    <w:rsid w:val="00F80E1D"/>
    <w:rsid w:val="00F84ADD"/>
    <w:rsid w:val="00F92BCA"/>
    <w:rsid w:val="00F93449"/>
    <w:rsid w:val="00F93B0F"/>
    <w:rsid w:val="00F9554B"/>
    <w:rsid w:val="00F968EC"/>
    <w:rsid w:val="00F96A91"/>
    <w:rsid w:val="00F96D05"/>
    <w:rsid w:val="00F9711B"/>
    <w:rsid w:val="00F9775F"/>
    <w:rsid w:val="00FA287E"/>
    <w:rsid w:val="00FA2BAD"/>
    <w:rsid w:val="00FA3895"/>
    <w:rsid w:val="00FA57FA"/>
    <w:rsid w:val="00FA5974"/>
    <w:rsid w:val="00FA6BFC"/>
    <w:rsid w:val="00FA746A"/>
    <w:rsid w:val="00FA75CA"/>
    <w:rsid w:val="00FA7DD1"/>
    <w:rsid w:val="00FB3A79"/>
    <w:rsid w:val="00FB403E"/>
    <w:rsid w:val="00FB5A08"/>
    <w:rsid w:val="00FB5BF1"/>
    <w:rsid w:val="00FB6CB6"/>
    <w:rsid w:val="00FB7236"/>
    <w:rsid w:val="00FB7AE4"/>
    <w:rsid w:val="00FC0467"/>
    <w:rsid w:val="00FC1A93"/>
    <w:rsid w:val="00FC1F63"/>
    <w:rsid w:val="00FC218B"/>
    <w:rsid w:val="00FC2839"/>
    <w:rsid w:val="00FC3B79"/>
    <w:rsid w:val="00FC5422"/>
    <w:rsid w:val="00FC5D59"/>
    <w:rsid w:val="00FC73FB"/>
    <w:rsid w:val="00FC7E49"/>
    <w:rsid w:val="00FD0668"/>
    <w:rsid w:val="00FD1D8B"/>
    <w:rsid w:val="00FD2A1C"/>
    <w:rsid w:val="00FD2C34"/>
    <w:rsid w:val="00FD5600"/>
    <w:rsid w:val="00FD65BA"/>
    <w:rsid w:val="00FE00D8"/>
    <w:rsid w:val="00FE30D8"/>
    <w:rsid w:val="00FE319F"/>
    <w:rsid w:val="00FE35F2"/>
    <w:rsid w:val="00FE5C9A"/>
    <w:rsid w:val="00FE6F10"/>
    <w:rsid w:val="00FF047E"/>
    <w:rsid w:val="00FF047F"/>
    <w:rsid w:val="00FF0DC1"/>
    <w:rsid w:val="00FF24B5"/>
    <w:rsid w:val="00FF59DF"/>
    <w:rsid w:val="00FF5C80"/>
    <w:rsid w:val="00FF7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A81ED"/>
  <w15:docId w15:val="{DD4AFB6C-5DF1-4613-A6A4-7AE1C785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7840"/>
    <w:pPr>
      <w:spacing w:after="120"/>
    </w:pPr>
    <w:rPr>
      <w:rFonts w:ascii="Arial" w:hAnsi="Arial" w:cs="Arial"/>
      <w:lang w:val="de-AT"/>
    </w:rPr>
  </w:style>
  <w:style w:type="paragraph" w:styleId="berschrift1">
    <w:name w:val="heading 1"/>
    <w:aliases w:val="xxxStandard"/>
    <w:basedOn w:val="KeinLeerraum"/>
    <w:next w:val="Standard"/>
    <w:link w:val="berschrift1Zchn"/>
    <w:uiPriority w:val="9"/>
    <w:qFormat/>
    <w:rsid w:val="0054171B"/>
    <w:pPr>
      <w:ind w:left="703"/>
      <w:jc w:val="both"/>
      <w:outlineLvl w:val="0"/>
    </w:pPr>
  </w:style>
  <w:style w:type="paragraph" w:styleId="berschrift2">
    <w:name w:val="heading 2"/>
    <w:aliases w:val="x1Überschrift"/>
    <w:basedOn w:val="Standard"/>
    <w:next w:val="Standard"/>
    <w:qFormat/>
    <w:rsid w:val="008266FB"/>
    <w:pPr>
      <w:ind w:right="-157"/>
      <w:outlineLvl w:val="1"/>
    </w:pPr>
    <w:rPr>
      <w:b/>
      <w:bCs/>
      <w:sz w:val="36"/>
      <w:szCs w:val="18"/>
    </w:rPr>
  </w:style>
  <w:style w:type="paragraph" w:styleId="berschrift3">
    <w:name w:val="heading 3"/>
    <w:aliases w:val="x2Überschrift"/>
    <w:basedOn w:val="Standard"/>
    <w:next w:val="Standard"/>
    <w:qFormat/>
    <w:rsid w:val="00A9644C"/>
    <w:pPr>
      <w:numPr>
        <w:numId w:val="8"/>
      </w:numPr>
      <w:spacing w:before="240" w:after="240"/>
      <w:ind w:right="-159"/>
      <w:outlineLvl w:val="2"/>
    </w:pPr>
    <w:rPr>
      <w:b/>
      <w:bCs/>
      <w:noProof/>
      <w:sz w:val="22"/>
      <w:szCs w:val="22"/>
      <w:lang w:eastAsia="en-GB"/>
    </w:rPr>
  </w:style>
  <w:style w:type="paragraph" w:styleId="berschrift4">
    <w:name w:val="heading 4"/>
    <w:aliases w:val="x3Überschrift"/>
    <w:basedOn w:val="Standard"/>
    <w:next w:val="Standard"/>
    <w:qFormat/>
    <w:rsid w:val="006C0EDA"/>
    <w:pPr>
      <w:numPr>
        <w:ilvl w:val="1"/>
        <w:numId w:val="6"/>
      </w:numPr>
      <w:spacing w:before="120"/>
      <w:outlineLvl w:val="3"/>
    </w:pPr>
    <w:rPr>
      <w:b/>
      <w:bCs/>
      <w:color w:val="000000" w:themeColor="text1"/>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sz w:val="28"/>
      <w:szCs w:val="14"/>
    </w:rPr>
  </w:style>
  <w:style w:type="paragraph" w:styleId="Textkrper2">
    <w:name w:val="Body Text 2"/>
    <w:basedOn w:val="Standard"/>
    <w:pPr>
      <w:spacing w:line="480" w:lineRule="auto"/>
    </w:pPr>
  </w:style>
  <w:style w:type="character" w:styleId="Hyperlink">
    <w:name w:val="Hyperlink"/>
    <w:rPr>
      <w:color w:val="0000FF"/>
      <w:u w:val="single"/>
    </w:rPr>
  </w:style>
  <w:style w:type="paragraph" w:styleId="Textkrper-Zeileneinzug">
    <w:name w:val="Body Text Indent"/>
    <w:basedOn w:val="Standard"/>
    <w:pPr>
      <w:ind w:left="705"/>
    </w:pPr>
    <w:rPr>
      <w:sz w:val="22"/>
      <w:szCs w:val="22"/>
    </w:rPr>
  </w:style>
  <w:style w:type="paragraph" w:styleId="Textkrper-Einzug2">
    <w:name w:val="Body Text Indent 2"/>
    <w:basedOn w:val="Standard"/>
    <w:pPr>
      <w:ind w:left="708"/>
    </w:pPr>
    <w:rPr>
      <w:sz w:val="22"/>
      <w:szCs w:val="22"/>
    </w:rPr>
  </w:style>
  <w:style w:type="paragraph" w:styleId="Textkrper-Einzug3">
    <w:name w:val="Body Text Indent 3"/>
    <w:basedOn w:val="Standard"/>
    <w:pPr>
      <w:ind w:left="708"/>
      <w:jc w:val="both"/>
    </w:pPr>
    <w:rPr>
      <w:color w:val="000000"/>
      <w:sz w:val="22"/>
      <w:szCs w:val="22"/>
    </w:rPr>
  </w:style>
  <w:style w:type="character" w:styleId="Kommentarzeichen">
    <w:name w:val="annotation reference"/>
    <w:rsid w:val="000E460C"/>
    <w:rPr>
      <w:sz w:val="16"/>
      <w:szCs w:val="16"/>
    </w:rPr>
  </w:style>
  <w:style w:type="paragraph" w:styleId="Kommentartext">
    <w:name w:val="annotation text"/>
    <w:basedOn w:val="Standard"/>
    <w:link w:val="KommentartextZchn"/>
    <w:uiPriority w:val="99"/>
    <w:rsid w:val="000E460C"/>
  </w:style>
  <w:style w:type="paragraph" w:styleId="Kommentarthema">
    <w:name w:val="annotation subject"/>
    <w:basedOn w:val="Kommentartext"/>
    <w:next w:val="Kommentartext"/>
    <w:semiHidden/>
    <w:rsid w:val="000E460C"/>
    <w:rPr>
      <w:b/>
      <w:bCs/>
    </w:rPr>
  </w:style>
  <w:style w:type="paragraph" w:styleId="Sprechblasentext">
    <w:name w:val="Balloon Text"/>
    <w:basedOn w:val="Standard"/>
    <w:semiHidden/>
    <w:rsid w:val="000E460C"/>
    <w:rPr>
      <w:rFonts w:ascii="Tahoma" w:hAnsi="Tahoma" w:cs="Tahoma"/>
      <w:sz w:val="16"/>
      <w:szCs w:val="16"/>
    </w:rPr>
  </w:style>
  <w:style w:type="table" w:styleId="Tabellenraster">
    <w:name w:val="Table Grid"/>
    <w:basedOn w:val="NormaleTabelle"/>
    <w:uiPriority w:val="59"/>
    <w:rsid w:val="0094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9pt">
    <w:name w:val="Standard + 9 pt"/>
    <w:basedOn w:val="Standard"/>
    <w:rsid w:val="00AF66D1"/>
    <w:pPr>
      <w:numPr>
        <w:numId w:val="1"/>
      </w:numPr>
      <w:ind w:right="279"/>
    </w:pPr>
    <w:rPr>
      <w:sz w:val="18"/>
      <w:szCs w:val="18"/>
      <w:lang w:val="en-GB"/>
    </w:rPr>
  </w:style>
  <w:style w:type="character" w:styleId="Hervorhebung">
    <w:name w:val="Emphasis"/>
    <w:aliases w:val="xxxStandard nach x5Unterüberschrift"/>
    <w:uiPriority w:val="20"/>
    <w:qFormat/>
    <w:rsid w:val="00A1684E"/>
    <w:rPr>
      <w:rFonts w:eastAsia="Arial Unicode MS"/>
      <w:sz w:val="20"/>
      <w:szCs w:val="20"/>
      <w:u w:val="none"/>
    </w:rPr>
  </w:style>
  <w:style w:type="paragraph" w:customStyle="1" w:styleId="Bau-1-Absatz">
    <w:name w:val="Bau-1-Absatz"/>
    <w:basedOn w:val="Standard"/>
    <w:rsid w:val="00044DE7"/>
    <w:pPr>
      <w:widowControl w:val="0"/>
      <w:tabs>
        <w:tab w:val="left" w:pos="567"/>
        <w:tab w:val="left" w:pos="1134"/>
        <w:tab w:val="left" w:pos="1701"/>
      </w:tabs>
      <w:spacing w:line="280" w:lineRule="exact"/>
      <w:jc w:val="both"/>
    </w:pPr>
  </w:style>
  <w:style w:type="character" w:customStyle="1" w:styleId="Kommentarzeichen1">
    <w:name w:val="Kommentarzeichen1"/>
    <w:rsid w:val="00E0741A"/>
    <w:rPr>
      <w:sz w:val="16"/>
      <w:szCs w:val="16"/>
    </w:rPr>
  </w:style>
  <w:style w:type="character" w:customStyle="1" w:styleId="WW8Num19z1">
    <w:name w:val="WW8Num19z1"/>
    <w:rsid w:val="0060186B"/>
    <w:rPr>
      <w:rFonts w:ascii="Courier New" w:hAnsi="Courier New" w:cs="Courier New"/>
    </w:rPr>
  </w:style>
  <w:style w:type="paragraph" w:customStyle="1" w:styleId="ManualNumPar1">
    <w:name w:val="Manual NumPar 1"/>
    <w:basedOn w:val="Standard"/>
    <w:next w:val="Standard"/>
    <w:rsid w:val="0007572D"/>
    <w:pPr>
      <w:spacing w:before="120" w:line="360" w:lineRule="auto"/>
      <w:ind w:left="850" w:hanging="850"/>
    </w:pPr>
    <w:rPr>
      <w:lang w:val="en-GB" w:eastAsia="zh-CN"/>
    </w:rPr>
  </w:style>
  <w:style w:type="paragraph" w:customStyle="1" w:styleId="ZchnZchnCharZchnZchn">
    <w:name w:val="Zchn Zchn Char Zchn Zchn"/>
    <w:basedOn w:val="Standard"/>
    <w:rsid w:val="0007572D"/>
    <w:rPr>
      <w:lang w:val="pl-PL" w:eastAsia="pl-PL"/>
    </w:rPr>
  </w:style>
  <w:style w:type="paragraph" w:customStyle="1" w:styleId="Text1">
    <w:name w:val="Text 1"/>
    <w:basedOn w:val="Standard"/>
    <w:rsid w:val="005628BE"/>
    <w:pPr>
      <w:spacing w:before="120"/>
      <w:ind w:left="850"/>
      <w:jc w:val="both"/>
    </w:pPr>
    <w:rPr>
      <w:lang w:val="en-GB"/>
    </w:rPr>
  </w:style>
  <w:style w:type="paragraph" w:customStyle="1" w:styleId="Text2">
    <w:name w:val="Text 2"/>
    <w:basedOn w:val="Standard"/>
    <w:rsid w:val="000D75DC"/>
    <w:pPr>
      <w:spacing w:before="120"/>
      <w:ind w:left="850"/>
      <w:jc w:val="both"/>
    </w:pPr>
    <w:rPr>
      <w:lang w:val="en-GB"/>
    </w:rPr>
  </w:style>
  <w:style w:type="paragraph" w:customStyle="1" w:styleId="ManualHeading2">
    <w:name w:val="Manual Heading 2"/>
    <w:basedOn w:val="Standard"/>
    <w:next w:val="Text2"/>
    <w:rsid w:val="003E6A18"/>
    <w:pPr>
      <w:keepNext/>
      <w:tabs>
        <w:tab w:val="left" w:pos="850"/>
      </w:tabs>
      <w:spacing w:before="120"/>
      <w:ind w:left="850" w:hanging="850"/>
      <w:jc w:val="both"/>
      <w:outlineLvl w:val="1"/>
    </w:pPr>
    <w:rPr>
      <w:b/>
      <w:lang w:val="en-GB"/>
    </w:rPr>
  </w:style>
  <w:style w:type="paragraph" w:styleId="Aufzhlungszeichen3">
    <w:name w:val="List Bullet 3"/>
    <w:basedOn w:val="Standard"/>
    <w:rsid w:val="00D37811"/>
    <w:pPr>
      <w:numPr>
        <w:numId w:val="3"/>
      </w:numPr>
      <w:spacing w:before="120"/>
      <w:jc w:val="both"/>
    </w:pPr>
    <w:rPr>
      <w:lang w:val="en-GB"/>
    </w:rPr>
  </w:style>
  <w:style w:type="paragraph" w:customStyle="1" w:styleId="Point1">
    <w:name w:val="Point 1"/>
    <w:basedOn w:val="Standard"/>
    <w:rsid w:val="0092529C"/>
    <w:pPr>
      <w:spacing w:before="120"/>
      <w:ind w:left="1417" w:hanging="567"/>
      <w:jc w:val="both"/>
    </w:pPr>
    <w:rPr>
      <w:lang w:val="en-GB"/>
    </w:rPr>
  </w:style>
  <w:style w:type="paragraph" w:customStyle="1" w:styleId="Point2">
    <w:name w:val="Point 2"/>
    <w:basedOn w:val="Standard"/>
    <w:rsid w:val="008F2A6D"/>
    <w:pPr>
      <w:spacing w:before="120"/>
      <w:ind w:left="1984" w:hanging="567"/>
      <w:jc w:val="both"/>
    </w:pPr>
    <w:rPr>
      <w:lang w:val="en-GB"/>
    </w:rPr>
  </w:style>
  <w:style w:type="character" w:styleId="Funotenzeichen">
    <w:name w:val="footnote reference"/>
    <w:semiHidden/>
    <w:rsid w:val="005B1507"/>
    <w:rPr>
      <w:vertAlign w:val="superscript"/>
    </w:rPr>
  </w:style>
  <w:style w:type="paragraph" w:customStyle="1" w:styleId="Tiret1">
    <w:name w:val="Tiret 1"/>
    <w:basedOn w:val="Point1"/>
    <w:rsid w:val="002164DF"/>
    <w:pPr>
      <w:numPr>
        <w:numId w:val="4"/>
      </w:numPr>
    </w:pPr>
  </w:style>
  <w:style w:type="paragraph" w:customStyle="1" w:styleId="ZchnZchn1">
    <w:name w:val="Zchn Zchn1"/>
    <w:basedOn w:val="Standard"/>
    <w:rsid w:val="00C818B7"/>
    <w:rPr>
      <w:lang w:val="pl-PL" w:eastAsia="pl-PL"/>
    </w:rPr>
  </w:style>
  <w:style w:type="paragraph" w:customStyle="1" w:styleId="Tiret4">
    <w:name w:val="Tiret 4"/>
    <w:basedOn w:val="Standard"/>
    <w:rsid w:val="00732431"/>
    <w:pPr>
      <w:numPr>
        <w:numId w:val="5"/>
      </w:numPr>
      <w:spacing w:before="120"/>
      <w:jc w:val="both"/>
    </w:pPr>
    <w:rPr>
      <w:lang w:val="en-GB"/>
    </w:rPr>
  </w:style>
  <w:style w:type="paragraph" w:styleId="Funotentext">
    <w:name w:val="footnote text"/>
    <w:basedOn w:val="Standard"/>
    <w:semiHidden/>
    <w:rsid w:val="00732431"/>
    <w:pPr>
      <w:ind w:left="720" w:hanging="720"/>
      <w:jc w:val="both"/>
    </w:pPr>
    <w:rPr>
      <w:lang w:val="en-GB"/>
    </w:rPr>
  </w:style>
  <w:style w:type="paragraph" w:customStyle="1" w:styleId="CM4">
    <w:name w:val="CM4"/>
    <w:basedOn w:val="Standard"/>
    <w:next w:val="Standard"/>
    <w:uiPriority w:val="99"/>
    <w:rsid w:val="00F05330"/>
    <w:pPr>
      <w:autoSpaceDE w:val="0"/>
      <w:autoSpaceDN w:val="0"/>
      <w:adjustRightInd w:val="0"/>
    </w:pPr>
    <w:rPr>
      <w:rFonts w:ascii="EUAlbertina" w:hAnsi="EUAlbertina"/>
    </w:rPr>
  </w:style>
  <w:style w:type="character" w:customStyle="1" w:styleId="WW8Num15z2">
    <w:name w:val="WW8Num15z2"/>
    <w:rsid w:val="00AA17A0"/>
    <w:rPr>
      <w:rFonts w:eastAsia="Times New Roman"/>
      <w:u w:val="none"/>
    </w:rPr>
  </w:style>
  <w:style w:type="character" w:customStyle="1" w:styleId="KommentartextZchn">
    <w:name w:val="Kommentartext Zchn"/>
    <w:link w:val="Kommentartext"/>
    <w:uiPriority w:val="99"/>
    <w:rsid w:val="00C61195"/>
  </w:style>
  <w:style w:type="paragraph" w:customStyle="1" w:styleId="Default">
    <w:name w:val="Default"/>
    <w:rsid w:val="003A0B11"/>
    <w:pPr>
      <w:autoSpaceDE w:val="0"/>
      <w:autoSpaceDN w:val="0"/>
      <w:adjustRightInd w:val="0"/>
    </w:pPr>
    <w:rPr>
      <w:color w:val="000000"/>
      <w:sz w:val="24"/>
      <w:szCs w:val="24"/>
    </w:rPr>
  </w:style>
  <w:style w:type="paragraph" w:styleId="berarbeitung">
    <w:name w:val="Revision"/>
    <w:hidden/>
    <w:uiPriority w:val="99"/>
    <w:semiHidden/>
    <w:rsid w:val="00102556"/>
    <w:rPr>
      <w:sz w:val="24"/>
      <w:szCs w:val="24"/>
    </w:rPr>
  </w:style>
  <w:style w:type="paragraph" w:styleId="Listenabsatz">
    <w:name w:val="List Paragraph"/>
    <w:basedOn w:val="Standard"/>
    <w:link w:val="ListenabsatzZchn"/>
    <w:uiPriority w:val="34"/>
    <w:qFormat/>
    <w:rsid w:val="003859E2"/>
    <w:pPr>
      <w:spacing w:after="200" w:line="276"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sid w:val="000516CE"/>
    <w:pPr>
      <w:spacing w:before="100" w:beforeAutospacing="1" w:after="100" w:afterAutospacing="1"/>
    </w:pPr>
  </w:style>
  <w:style w:type="paragraph" w:styleId="NurText">
    <w:name w:val="Plain Text"/>
    <w:basedOn w:val="Standard"/>
    <w:link w:val="NurTextZchn"/>
    <w:uiPriority w:val="99"/>
    <w:unhideWhenUsed/>
    <w:rsid w:val="005C11C1"/>
    <w:rPr>
      <w:rFonts w:ascii="Calibri" w:eastAsia="Calibri" w:hAnsi="Calibri" w:cs="Consolas"/>
      <w:sz w:val="22"/>
      <w:szCs w:val="21"/>
      <w:lang w:eastAsia="en-US"/>
    </w:rPr>
  </w:style>
  <w:style w:type="character" w:customStyle="1" w:styleId="NurTextZchn">
    <w:name w:val="Nur Text Zchn"/>
    <w:link w:val="NurText"/>
    <w:uiPriority w:val="99"/>
    <w:rsid w:val="005C11C1"/>
    <w:rPr>
      <w:rFonts w:ascii="Calibri" w:eastAsia="Calibri" w:hAnsi="Calibri" w:cs="Consolas"/>
      <w:sz w:val="22"/>
      <w:szCs w:val="21"/>
      <w:lang w:eastAsia="en-US"/>
    </w:rPr>
  </w:style>
  <w:style w:type="character" w:customStyle="1" w:styleId="ListenabsatzZchn">
    <w:name w:val="Listenabsatz Zchn"/>
    <w:basedOn w:val="Absatz-Standardschriftart"/>
    <w:link w:val="Listenabsatz"/>
    <w:uiPriority w:val="34"/>
    <w:rsid w:val="006E6EDF"/>
    <w:rPr>
      <w:rFonts w:ascii="Calibri" w:eastAsia="Calibri" w:hAnsi="Calibri"/>
      <w:sz w:val="22"/>
      <w:szCs w:val="22"/>
      <w:lang w:eastAsia="en-US"/>
    </w:rPr>
  </w:style>
  <w:style w:type="character" w:styleId="Fett">
    <w:name w:val="Strong"/>
    <w:basedOn w:val="Absatz-Standardschriftart"/>
    <w:uiPriority w:val="22"/>
    <w:qFormat/>
    <w:rsid w:val="00A31B6F"/>
    <w:rPr>
      <w:b/>
      <w:bCs/>
    </w:rPr>
  </w:style>
  <w:style w:type="table" w:customStyle="1" w:styleId="Tabellenraster1">
    <w:name w:val="Tabellenraster1"/>
    <w:basedOn w:val="NormaleTabelle"/>
    <w:next w:val="Tabellenraster"/>
    <w:uiPriority w:val="59"/>
    <w:rsid w:val="00317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xTabellen"/>
    <w:basedOn w:val="Standard"/>
    <w:next w:val="Standard"/>
    <w:uiPriority w:val="1"/>
    <w:qFormat/>
    <w:rsid w:val="00A22BF0"/>
  </w:style>
  <w:style w:type="character" w:customStyle="1" w:styleId="berschrift1Zchn">
    <w:name w:val="Überschrift 1 Zchn"/>
    <w:aliases w:val="xxxStandard Zchn"/>
    <w:basedOn w:val="Absatz-Standardschriftart"/>
    <w:link w:val="berschrift1"/>
    <w:uiPriority w:val="9"/>
    <w:rsid w:val="0054171B"/>
    <w:rPr>
      <w:rFonts w:ascii="Arial" w:hAnsi="Arial" w:cs="Arial"/>
      <w:lang w:val="de-AT"/>
    </w:rPr>
  </w:style>
  <w:style w:type="paragraph" w:styleId="Titel">
    <w:name w:val="Title"/>
    <w:aliases w:val="Linie"/>
    <w:basedOn w:val="KeinLeerraum"/>
    <w:next w:val="Standard"/>
    <w:link w:val="TitelZchn"/>
    <w:uiPriority w:val="10"/>
    <w:qFormat/>
    <w:rsid w:val="00664490"/>
    <w:pPr>
      <w:spacing w:after="0"/>
    </w:pPr>
  </w:style>
  <w:style w:type="character" w:customStyle="1" w:styleId="TitelZchn">
    <w:name w:val="Titel Zchn"/>
    <w:aliases w:val="Linie Zchn"/>
    <w:basedOn w:val="Absatz-Standardschriftart"/>
    <w:link w:val="Titel"/>
    <w:uiPriority w:val="10"/>
    <w:rsid w:val="00664490"/>
    <w:rPr>
      <w:rFonts w:ascii="Arial" w:hAnsi="Arial" w:cs="Arial"/>
      <w:lang w:val="de-AT"/>
    </w:rPr>
  </w:style>
  <w:style w:type="paragraph" w:styleId="Untertitel">
    <w:name w:val="Subtitle"/>
    <w:aliases w:val="x4Unterüberschrift"/>
    <w:basedOn w:val="Standard"/>
    <w:next w:val="Standard"/>
    <w:link w:val="UntertitelZchn"/>
    <w:uiPriority w:val="11"/>
    <w:qFormat/>
    <w:rsid w:val="00A22BF0"/>
    <w:pPr>
      <w:spacing w:before="120"/>
      <w:ind w:firstLine="703"/>
    </w:pPr>
    <w:rPr>
      <w:b/>
      <w:bCs/>
      <w:sz w:val="22"/>
      <w:szCs w:val="22"/>
    </w:rPr>
  </w:style>
  <w:style w:type="character" w:customStyle="1" w:styleId="UntertitelZchn">
    <w:name w:val="Untertitel Zchn"/>
    <w:aliases w:val="x4Unterüberschrift Zchn"/>
    <w:basedOn w:val="Absatz-Standardschriftart"/>
    <w:link w:val="Untertitel"/>
    <w:uiPriority w:val="11"/>
    <w:rsid w:val="00A22BF0"/>
    <w:rPr>
      <w:rFonts w:ascii="Arial" w:hAnsi="Arial" w:cs="Arial"/>
      <w:b/>
      <w:bCs/>
      <w:sz w:val="22"/>
      <w:szCs w:val="22"/>
      <w:lang w:val="de-AT"/>
    </w:rPr>
  </w:style>
  <w:style w:type="character" w:styleId="SchwacheHervorhebung">
    <w:name w:val="Subtle Emphasis"/>
    <w:aliases w:val="x5Ünterüberschrift"/>
    <w:uiPriority w:val="19"/>
    <w:qFormat/>
    <w:rsid w:val="00CE1617"/>
    <w:rPr>
      <w:rFonts w:ascii="Arial" w:hAnsi="Arial" w:cs="Arial"/>
      <w:sz w:val="22"/>
      <w:szCs w:val="22"/>
      <w:u w:val="single"/>
      <w:lang w:val="de-AT"/>
    </w:rPr>
  </w:style>
  <w:style w:type="paragraph" w:styleId="Zitat">
    <w:name w:val="Quote"/>
    <w:basedOn w:val="Untertitel"/>
    <w:next w:val="Standard"/>
    <w:link w:val="ZitatZchn"/>
    <w:uiPriority w:val="29"/>
    <w:qFormat/>
    <w:rsid w:val="00CE1617"/>
    <w:pPr>
      <w:spacing w:after="0"/>
      <w:ind w:left="531" w:firstLine="708"/>
    </w:pPr>
    <w:rPr>
      <w:b w:val="0"/>
      <w:u w:val="single"/>
    </w:rPr>
  </w:style>
  <w:style w:type="character" w:customStyle="1" w:styleId="ZitatZchn">
    <w:name w:val="Zitat Zchn"/>
    <w:basedOn w:val="Absatz-Standardschriftart"/>
    <w:link w:val="Zitat"/>
    <w:uiPriority w:val="29"/>
    <w:rsid w:val="00CE1617"/>
    <w:rPr>
      <w:rFonts w:ascii="Arial" w:hAnsi="Arial" w:cs="Arial"/>
      <w:bCs/>
      <w:sz w:val="22"/>
      <w:szCs w:val="22"/>
      <w:u w:val="single"/>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6">
      <w:bodyDiv w:val="1"/>
      <w:marLeft w:val="0"/>
      <w:marRight w:val="0"/>
      <w:marTop w:val="0"/>
      <w:marBottom w:val="0"/>
      <w:divBdr>
        <w:top w:val="none" w:sz="0" w:space="0" w:color="auto"/>
        <w:left w:val="none" w:sz="0" w:space="0" w:color="auto"/>
        <w:bottom w:val="none" w:sz="0" w:space="0" w:color="auto"/>
        <w:right w:val="none" w:sz="0" w:space="0" w:color="auto"/>
      </w:divBdr>
    </w:div>
    <w:div w:id="50153111">
      <w:bodyDiv w:val="1"/>
      <w:marLeft w:val="0"/>
      <w:marRight w:val="0"/>
      <w:marTop w:val="0"/>
      <w:marBottom w:val="0"/>
      <w:divBdr>
        <w:top w:val="none" w:sz="0" w:space="0" w:color="auto"/>
        <w:left w:val="none" w:sz="0" w:space="0" w:color="auto"/>
        <w:bottom w:val="none" w:sz="0" w:space="0" w:color="auto"/>
        <w:right w:val="none" w:sz="0" w:space="0" w:color="auto"/>
      </w:divBdr>
    </w:div>
    <w:div w:id="79133960">
      <w:bodyDiv w:val="1"/>
      <w:marLeft w:val="0"/>
      <w:marRight w:val="0"/>
      <w:marTop w:val="0"/>
      <w:marBottom w:val="0"/>
      <w:divBdr>
        <w:top w:val="none" w:sz="0" w:space="0" w:color="auto"/>
        <w:left w:val="none" w:sz="0" w:space="0" w:color="auto"/>
        <w:bottom w:val="none" w:sz="0" w:space="0" w:color="auto"/>
        <w:right w:val="none" w:sz="0" w:space="0" w:color="auto"/>
      </w:divBdr>
    </w:div>
    <w:div w:id="231427230">
      <w:bodyDiv w:val="1"/>
      <w:marLeft w:val="0"/>
      <w:marRight w:val="0"/>
      <w:marTop w:val="0"/>
      <w:marBottom w:val="0"/>
      <w:divBdr>
        <w:top w:val="none" w:sz="0" w:space="0" w:color="auto"/>
        <w:left w:val="none" w:sz="0" w:space="0" w:color="auto"/>
        <w:bottom w:val="none" w:sz="0" w:space="0" w:color="auto"/>
        <w:right w:val="none" w:sz="0" w:space="0" w:color="auto"/>
      </w:divBdr>
    </w:div>
    <w:div w:id="286357772">
      <w:bodyDiv w:val="1"/>
      <w:marLeft w:val="0"/>
      <w:marRight w:val="0"/>
      <w:marTop w:val="0"/>
      <w:marBottom w:val="0"/>
      <w:divBdr>
        <w:top w:val="none" w:sz="0" w:space="0" w:color="auto"/>
        <w:left w:val="none" w:sz="0" w:space="0" w:color="auto"/>
        <w:bottom w:val="none" w:sz="0" w:space="0" w:color="auto"/>
        <w:right w:val="none" w:sz="0" w:space="0" w:color="auto"/>
      </w:divBdr>
    </w:div>
    <w:div w:id="382562560">
      <w:bodyDiv w:val="1"/>
      <w:marLeft w:val="0"/>
      <w:marRight w:val="0"/>
      <w:marTop w:val="0"/>
      <w:marBottom w:val="0"/>
      <w:divBdr>
        <w:top w:val="none" w:sz="0" w:space="0" w:color="auto"/>
        <w:left w:val="none" w:sz="0" w:space="0" w:color="auto"/>
        <w:bottom w:val="none" w:sz="0" w:space="0" w:color="auto"/>
        <w:right w:val="none" w:sz="0" w:space="0" w:color="auto"/>
      </w:divBdr>
    </w:div>
    <w:div w:id="466901433">
      <w:bodyDiv w:val="1"/>
      <w:marLeft w:val="0"/>
      <w:marRight w:val="0"/>
      <w:marTop w:val="0"/>
      <w:marBottom w:val="0"/>
      <w:divBdr>
        <w:top w:val="none" w:sz="0" w:space="0" w:color="auto"/>
        <w:left w:val="none" w:sz="0" w:space="0" w:color="auto"/>
        <w:bottom w:val="none" w:sz="0" w:space="0" w:color="auto"/>
        <w:right w:val="none" w:sz="0" w:space="0" w:color="auto"/>
      </w:divBdr>
    </w:div>
    <w:div w:id="466972095">
      <w:bodyDiv w:val="1"/>
      <w:marLeft w:val="0"/>
      <w:marRight w:val="0"/>
      <w:marTop w:val="0"/>
      <w:marBottom w:val="0"/>
      <w:divBdr>
        <w:top w:val="none" w:sz="0" w:space="0" w:color="auto"/>
        <w:left w:val="none" w:sz="0" w:space="0" w:color="auto"/>
        <w:bottom w:val="none" w:sz="0" w:space="0" w:color="auto"/>
        <w:right w:val="none" w:sz="0" w:space="0" w:color="auto"/>
      </w:divBdr>
    </w:div>
    <w:div w:id="547451303">
      <w:bodyDiv w:val="1"/>
      <w:marLeft w:val="0"/>
      <w:marRight w:val="0"/>
      <w:marTop w:val="0"/>
      <w:marBottom w:val="0"/>
      <w:divBdr>
        <w:top w:val="none" w:sz="0" w:space="0" w:color="auto"/>
        <w:left w:val="none" w:sz="0" w:space="0" w:color="auto"/>
        <w:bottom w:val="none" w:sz="0" w:space="0" w:color="auto"/>
        <w:right w:val="none" w:sz="0" w:space="0" w:color="auto"/>
      </w:divBdr>
    </w:div>
    <w:div w:id="565385828">
      <w:bodyDiv w:val="1"/>
      <w:marLeft w:val="0"/>
      <w:marRight w:val="0"/>
      <w:marTop w:val="0"/>
      <w:marBottom w:val="0"/>
      <w:divBdr>
        <w:top w:val="none" w:sz="0" w:space="0" w:color="auto"/>
        <w:left w:val="none" w:sz="0" w:space="0" w:color="auto"/>
        <w:bottom w:val="none" w:sz="0" w:space="0" w:color="auto"/>
        <w:right w:val="none" w:sz="0" w:space="0" w:color="auto"/>
      </w:divBdr>
    </w:div>
    <w:div w:id="594704490">
      <w:bodyDiv w:val="1"/>
      <w:marLeft w:val="0"/>
      <w:marRight w:val="0"/>
      <w:marTop w:val="0"/>
      <w:marBottom w:val="0"/>
      <w:divBdr>
        <w:top w:val="none" w:sz="0" w:space="0" w:color="auto"/>
        <w:left w:val="none" w:sz="0" w:space="0" w:color="auto"/>
        <w:bottom w:val="none" w:sz="0" w:space="0" w:color="auto"/>
        <w:right w:val="none" w:sz="0" w:space="0" w:color="auto"/>
      </w:divBdr>
    </w:div>
    <w:div w:id="612790330">
      <w:bodyDiv w:val="1"/>
      <w:marLeft w:val="0"/>
      <w:marRight w:val="0"/>
      <w:marTop w:val="0"/>
      <w:marBottom w:val="0"/>
      <w:divBdr>
        <w:top w:val="none" w:sz="0" w:space="0" w:color="auto"/>
        <w:left w:val="none" w:sz="0" w:space="0" w:color="auto"/>
        <w:bottom w:val="none" w:sz="0" w:space="0" w:color="auto"/>
        <w:right w:val="none" w:sz="0" w:space="0" w:color="auto"/>
      </w:divBdr>
    </w:div>
    <w:div w:id="648360985">
      <w:bodyDiv w:val="1"/>
      <w:marLeft w:val="0"/>
      <w:marRight w:val="0"/>
      <w:marTop w:val="0"/>
      <w:marBottom w:val="0"/>
      <w:divBdr>
        <w:top w:val="none" w:sz="0" w:space="0" w:color="auto"/>
        <w:left w:val="none" w:sz="0" w:space="0" w:color="auto"/>
        <w:bottom w:val="none" w:sz="0" w:space="0" w:color="auto"/>
        <w:right w:val="none" w:sz="0" w:space="0" w:color="auto"/>
      </w:divBdr>
    </w:div>
    <w:div w:id="792141768">
      <w:bodyDiv w:val="1"/>
      <w:marLeft w:val="0"/>
      <w:marRight w:val="0"/>
      <w:marTop w:val="0"/>
      <w:marBottom w:val="0"/>
      <w:divBdr>
        <w:top w:val="none" w:sz="0" w:space="0" w:color="auto"/>
        <w:left w:val="none" w:sz="0" w:space="0" w:color="auto"/>
        <w:bottom w:val="none" w:sz="0" w:space="0" w:color="auto"/>
        <w:right w:val="none" w:sz="0" w:space="0" w:color="auto"/>
      </w:divBdr>
    </w:div>
    <w:div w:id="838231889">
      <w:bodyDiv w:val="1"/>
      <w:marLeft w:val="0"/>
      <w:marRight w:val="0"/>
      <w:marTop w:val="0"/>
      <w:marBottom w:val="0"/>
      <w:divBdr>
        <w:top w:val="none" w:sz="0" w:space="0" w:color="auto"/>
        <w:left w:val="none" w:sz="0" w:space="0" w:color="auto"/>
        <w:bottom w:val="none" w:sz="0" w:space="0" w:color="auto"/>
        <w:right w:val="none" w:sz="0" w:space="0" w:color="auto"/>
      </w:divBdr>
    </w:div>
    <w:div w:id="942228295">
      <w:bodyDiv w:val="1"/>
      <w:marLeft w:val="0"/>
      <w:marRight w:val="0"/>
      <w:marTop w:val="0"/>
      <w:marBottom w:val="0"/>
      <w:divBdr>
        <w:top w:val="none" w:sz="0" w:space="0" w:color="auto"/>
        <w:left w:val="none" w:sz="0" w:space="0" w:color="auto"/>
        <w:bottom w:val="none" w:sz="0" w:space="0" w:color="auto"/>
        <w:right w:val="none" w:sz="0" w:space="0" w:color="auto"/>
      </w:divBdr>
    </w:div>
    <w:div w:id="1036545998">
      <w:bodyDiv w:val="1"/>
      <w:marLeft w:val="0"/>
      <w:marRight w:val="0"/>
      <w:marTop w:val="0"/>
      <w:marBottom w:val="0"/>
      <w:divBdr>
        <w:top w:val="none" w:sz="0" w:space="0" w:color="auto"/>
        <w:left w:val="none" w:sz="0" w:space="0" w:color="auto"/>
        <w:bottom w:val="none" w:sz="0" w:space="0" w:color="auto"/>
        <w:right w:val="none" w:sz="0" w:space="0" w:color="auto"/>
      </w:divBdr>
    </w:div>
    <w:div w:id="1228611151">
      <w:bodyDiv w:val="1"/>
      <w:marLeft w:val="0"/>
      <w:marRight w:val="0"/>
      <w:marTop w:val="0"/>
      <w:marBottom w:val="0"/>
      <w:divBdr>
        <w:top w:val="none" w:sz="0" w:space="0" w:color="auto"/>
        <w:left w:val="none" w:sz="0" w:space="0" w:color="auto"/>
        <w:bottom w:val="none" w:sz="0" w:space="0" w:color="auto"/>
        <w:right w:val="none" w:sz="0" w:space="0" w:color="auto"/>
      </w:divBdr>
    </w:div>
    <w:div w:id="1275208449">
      <w:bodyDiv w:val="1"/>
      <w:marLeft w:val="0"/>
      <w:marRight w:val="0"/>
      <w:marTop w:val="0"/>
      <w:marBottom w:val="0"/>
      <w:divBdr>
        <w:top w:val="none" w:sz="0" w:space="0" w:color="auto"/>
        <w:left w:val="none" w:sz="0" w:space="0" w:color="auto"/>
        <w:bottom w:val="none" w:sz="0" w:space="0" w:color="auto"/>
        <w:right w:val="none" w:sz="0" w:space="0" w:color="auto"/>
      </w:divBdr>
    </w:div>
    <w:div w:id="1355617861">
      <w:bodyDiv w:val="1"/>
      <w:marLeft w:val="0"/>
      <w:marRight w:val="0"/>
      <w:marTop w:val="0"/>
      <w:marBottom w:val="0"/>
      <w:divBdr>
        <w:top w:val="none" w:sz="0" w:space="0" w:color="auto"/>
        <w:left w:val="none" w:sz="0" w:space="0" w:color="auto"/>
        <w:bottom w:val="none" w:sz="0" w:space="0" w:color="auto"/>
        <w:right w:val="none" w:sz="0" w:space="0" w:color="auto"/>
      </w:divBdr>
    </w:div>
    <w:div w:id="1383364125">
      <w:bodyDiv w:val="1"/>
      <w:marLeft w:val="0"/>
      <w:marRight w:val="0"/>
      <w:marTop w:val="0"/>
      <w:marBottom w:val="0"/>
      <w:divBdr>
        <w:top w:val="none" w:sz="0" w:space="0" w:color="auto"/>
        <w:left w:val="none" w:sz="0" w:space="0" w:color="auto"/>
        <w:bottom w:val="none" w:sz="0" w:space="0" w:color="auto"/>
        <w:right w:val="none" w:sz="0" w:space="0" w:color="auto"/>
      </w:divBdr>
    </w:div>
    <w:div w:id="1445611351">
      <w:bodyDiv w:val="1"/>
      <w:marLeft w:val="0"/>
      <w:marRight w:val="0"/>
      <w:marTop w:val="0"/>
      <w:marBottom w:val="0"/>
      <w:divBdr>
        <w:top w:val="none" w:sz="0" w:space="0" w:color="auto"/>
        <w:left w:val="none" w:sz="0" w:space="0" w:color="auto"/>
        <w:bottom w:val="none" w:sz="0" w:space="0" w:color="auto"/>
        <w:right w:val="none" w:sz="0" w:space="0" w:color="auto"/>
      </w:divBdr>
    </w:div>
    <w:div w:id="1454246426">
      <w:bodyDiv w:val="1"/>
      <w:marLeft w:val="0"/>
      <w:marRight w:val="0"/>
      <w:marTop w:val="0"/>
      <w:marBottom w:val="0"/>
      <w:divBdr>
        <w:top w:val="none" w:sz="0" w:space="0" w:color="auto"/>
        <w:left w:val="none" w:sz="0" w:space="0" w:color="auto"/>
        <w:bottom w:val="none" w:sz="0" w:space="0" w:color="auto"/>
        <w:right w:val="none" w:sz="0" w:space="0" w:color="auto"/>
      </w:divBdr>
    </w:div>
    <w:div w:id="1477919257">
      <w:bodyDiv w:val="1"/>
      <w:marLeft w:val="0"/>
      <w:marRight w:val="0"/>
      <w:marTop w:val="0"/>
      <w:marBottom w:val="0"/>
      <w:divBdr>
        <w:top w:val="none" w:sz="0" w:space="0" w:color="auto"/>
        <w:left w:val="none" w:sz="0" w:space="0" w:color="auto"/>
        <w:bottom w:val="none" w:sz="0" w:space="0" w:color="auto"/>
        <w:right w:val="none" w:sz="0" w:space="0" w:color="auto"/>
      </w:divBdr>
    </w:div>
    <w:div w:id="1655522665">
      <w:bodyDiv w:val="1"/>
      <w:marLeft w:val="0"/>
      <w:marRight w:val="0"/>
      <w:marTop w:val="0"/>
      <w:marBottom w:val="0"/>
      <w:divBdr>
        <w:top w:val="none" w:sz="0" w:space="0" w:color="auto"/>
        <w:left w:val="none" w:sz="0" w:space="0" w:color="auto"/>
        <w:bottom w:val="none" w:sz="0" w:space="0" w:color="auto"/>
        <w:right w:val="none" w:sz="0" w:space="0" w:color="auto"/>
      </w:divBdr>
    </w:div>
    <w:div w:id="1798454909">
      <w:bodyDiv w:val="1"/>
      <w:marLeft w:val="0"/>
      <w:marRight w:val="0"/>
      <w:marTop w:val="0"/>
      <w:marBottom w:val="0"/>
      <w:divBdr>
        <w:top w:val="none" w:sz="0" w:space="0" w:color="auto"/>
        <w:left w:val="none" w:sz="0" w:space="0" w:color="auto"/>
        <w:bottom w:val="none" w:sz="0" w:space="0" w:color="auto"/>
        <w:right w:val="none" w:sz="0" w:space="0" w:color="auto"/>
      </w:divBdr>
    </w:div>
    <w:div w:id="1928617297">
      <w:bodyDiv w:val="1"/>
      <w:marLeft w:val="0"/>
      <w:marRight w:val="0"/>
      <w:marTop w:val="0"/>
      <w:marBottom w:val="0"/>
      <w:divBdr>
        <w:top w:val="none" w:sz="0" w:space="0" w:color="auto"/>
        <w:left w:val="none" w:sz="0" w:space="0" w:color="auto"/>
        <w:bottom w:val="none" w:sz="0" w:space="0" w:color="auto"/>
        <w:right w:val="none" w:sz="0" w:space="0" w:color="auto"/>
      </w:divBdr>
    </w:div>
    <w:div w:id="2015642315">
      <w:bodyDiv w:val="1"/>
      <w:marLeft w:val="0"/>
      <w:marRight w:val="0"/>
      <w:marTop w:val="0"/>
      <w:marBottom w:val="0"/>
      <w:divBdr>
        <w:top w:val="none" w:sz="0" w:space="0" w:color="auto"/>
        <w:left w:val="none" w:sz="0" w:space="0" w:color="auto"/>
        <w:bottom w:val="none" w:sz="0" w:space="0" w:color="auto"/>
        <w:right w:val="none" w:sz="0" w:space="0" w:color="auto"/>
      </w:divBdr>
    </w:div>
    <w:div w:id="2059889654">
      <w:bodyDiv w:val="1"/>
      <w:marLeft w:val="0"/>
      <w:marRight w:val="0"/>
      <w:marTop w:val="0"/>
      <w:marBottom w:val="0"/>
      <w:divBdr>
        <w:top w:val="none" w:sz="0" w:space="0" w:color="auto"/>
        <w:left w:val="none" w:sz="0" w:space="0" w:color="auto"/>
        <w:bottom w:val="none" w:sz="0" w:space="0" w:color="auto"/>
        <w:right w:val="none" w:sz="0" w:space="0" w:color="auto"/>
      </w:divBdr>
    </w:div>
    <w:div w:id="20872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wk-skiwa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6D0CE-CCC2-4088-99C2-5E08789D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3604</Words>
  <Characters>22707</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Leerformular eSDB mit Anhang EN</vt:lpstr>
    </vt:vector>
  </TitlesOfParts>
  <Company>Volkswagen AG</Company>
  <LinksUpToDate>false</LinksUpToDate>
  <CharactersWithSpaces>26259</CharactersWithSpaces>
  <SharedDoc>false</SharedDoc>
  <HLinks>
    <vt:vector size="30" baseType="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ariant>
        <vt:i4>6946837</vt:i4>
      </vt:variant>
      <vt:variant>
        <vt:i4>6</vt:i4>
      </vt:variant>
      <vt:variant>
        <vt:i4>0</vt:i4>
      </vt:variant>
      <vt:variant>
        <vt:i4>5</vt:i4>
      </vt:variant>
      <vt:variant>
        <vt:lpwstr>http://reach.jrc.it/docs/guidance_document/information_requirements_en.htm</vt:lpwstr>
      </vt:variant>
      <vt:variant>
        <vt:lpwstr/>
      </vt:variant>
      <vt:variant>
        <vt:i4>6619255</vt:i4>
      </vt:variant>
      <vt:variant>
        <vt:i4>3</vt:i4>
      </vt:variant>
      <vt:variant>
        <vt:i4>0</vt:i4>
      </vt:variant>
      <vt:variant>
        <vt:i4>5</vt:i4>
      </vt:variant>
      <vt:variant>
        <vt:lpwstr>http://www.euphrac.eu/</vt:lpwstr>
      </vt:variant>
      <vt:variant>
        <vt:lpwstr/>
      </vt:variant>
      <vt:variant>
        <vt:i4>3407884</vt:i4>
      </vt:variant>
      <vt:variant>
        <vt:i4>0</vt:i4>
      </vt:variant>
      <vt:variant>
        <vt:i4>0</vt:i4>
      </vt:variant>
      <vt:variant>
        <vt:i4>5</vt:i4>
      </vt:variant>
      <vt:variant>
        <vt:lpwstr>mailto:sdb@firmaxyz.de</vt:lpwstr>
      </vt:variant>
      <vt:variant>
        <vt:lpwstr/>
      </vt: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eSDB mit Anhang EN</dc:title>
  <dc:creator>Dr. Anita Hillmer</dc:creator>
  <cp:lastModifiedBy>Wohlschlager Christoph</cp:lastModifiedBy>
  <cp:revision>2</cp:revision>
  <cp:lastPrinted>2016-11-21T09:08:00Z</cp:lastPrinted>
  <dcterms:created xsi:type="dcterms:W3CDTF">2024-04-22T11:42:00Z</dcterms:created>
  <dcterms:modified xsi:type="dcterms:W3CDTF">2024-04-22T11:42:00Z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-278053852</vt:i4>
  </property>
  <property fmtid="{D5CDD505-2E9C-101B-9397-08002B2CF9AE}" pid="4" name="_EmailSubject">
    <vt:lpwstr>Bitte Templates nochmal austauschen - war noch ein fehler in ABSCHNITT 9</vt:lpwstr>
  </property>
  <property fmtid="{D5CDD505-2E9C-101B-9397-08002B2CF9AE}" pid="5" name="_AuthorEmail">
    <vt:lpwstr>Anita.Hillmer@volkswagen.de</vt:lpwstr>
  </property>
  <property fmtid="{D5CDD505-2E9C-101B-9397-08002B2CF9AE}" pid="6" name="_AuthorEmailDisplayName">
    <vt:lpwstr>Hillmer, Anita, Dr. (PMP-L/G)</vt:lpwstr>
  </property>
  <property fmtid="{D5CDD505-2E9C-101B-9397-08002B2CF9AE}" pid="7" name="_ReviewingToolsShownOnce">
    <vt:lpwstr/>
  </property>
</Properties>
</file>